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09" w:tblpY="22"/>
        <w:tblW w:w="11340" w:type="dxa"/>
        <w:tblLayout w:type="fixed"/>
        <w:tblCellMar>
          <w:left w:w="0" w:type="dxa"/>
          <w:right w:w="0" w:type="dxa"/>
        </w:tblCellMar>
        <w:tblLook w:val="0000" w:firstRow="0" w:lastRow="0" w:firstColumn="0" w:lastColumn="0" w:noHBand="0" w:noVBand="0"/>
      </w:tblPr>
      <w:tblGrid>
        <w:gridCol w:w="11340"/>
      </w:tblGrid>
      <w:tr w:rsidR="00F0386A" w:rsidTr="006E1BC5">
        <w:trPr>
          <w:trHeight w:val="7230"/>
        </w:trPr>
        <w:tc>
          <w:tcPr>
            <w:tcW w:w="11340" w:type="dxa"/>
          </w:tcPr>
          <w:p w:rsidR="0021274C" w:rsidRDefault="0021274C" w:rsidP="005A62C2">
            <w:bookmarkStart w:id="0" w:name="_GoBack"/>
            <w:bookmarkEnd w:id="0"/>
          </w:p>
          <w:p w:rsidR="0021274C" w:rsidRPr="0021274C" w:rsidRDefault="00BD2A59" w:rsidP="005A62C2">
            <w:r>
              <w:rPr>
                <w:noProof/>
                <w:lang w:val="en-GB" w:eastAsia="en-GB"/>
              </w:rPr>
              <w:t xml:space="preserve">                   </w:t>
            </w:r>
            <w:r w:rsidR="00617211">
              <w:rPr>
                <w:noProof/>
                <w:lang w:val="en-GB" w:eastAsia="en-GB"/>
              </w:rPr>
              <mc:AlternateContent>
                <mc:Choice Requires="wps">
                  <w:drawing>
                    <wp:inline distT="0" distB="0" distL="0" distR="0" wp14:anchorId="47F2F149" wp14:editId="4E1F55EF">
                      <wp:extent cx="7057837" cy="857250"/>
                      <wp:effectExtent l="0" t="0" r="0" b="0"/>
                      <wp:docPr id="21" name="Text Box 21"/>
                      <wp:cNvGraphicFramePr/>
                      <a:graphic xmlns:a="http://schemas.openxmlformats.org/drawingml/2006/main">
                        <a:graphicData uri="http://schemas.microsoft.com/office/word/2010/wordprocessingShape">
                          <wps:wsp>
                            <wps:cNvSpPr txBox="1"/>
                            <wps:spPr>
                              <a:xfrm>
                                <a:off x="0" y="0"/>
                                <a:ext cx="7057837" cy="857250"/>
                              </a:xfrm>
                              <a:prstGeom prst="rect">
                                <a:avLst/>
                              </a:prstGeom>
                              <a:noFill/>
                              <a:ln w="6350">
                                <a:noFill/>
                              </a:ln>
                            </wps:spPr>
                            <wps:txbx>
                              <w:txbxContent>
                                <w:p w:rsidR="00617211" w:rsidRDefault="00617211" w:rsidP="006E1BC5">
                                  <w:pPr>
                                    <w:pStyle w:val="Heading4"/>
                                  </w:pPr>
                                  <w:r w:rsidRPr="00A240FA">
                                    <w:rPr>
                                      <w:noProof/>
                                      <w:lang w:val="en-GB" w:eastAsia="en-GB"/>
                                    </w:rPr>
                                    <w:drawing>
                                      <wp:inline distT="0" distB="0" distL="0" distR="0" wp14:anchorId="220F2E99" wp14:editId="3B7B6871">
                                        <wp:extent cx="1209675" cy="390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617211" w:rsidRDefault="00617211" w:rsidP="006E1BC5">
                                  <w:pPr>
                                    <w:pStyle w:val="Heading4"/>
                                  </w:pPr>
                                  <w:r>
                                    <w:t>Yorkshire &amp; District Association</w:t>
                                  </w:r>
                                  <w:r w:rsidR="00D80A39">
                                    <w:t xml:space="preserve"> </w:t>
                                  </w:r>
                                  <w:r w:rsidR="008325BA">
                                    <w:t>Vulnerability Seminar</w:t>
                                  </w:r>
                                </w:p>
                                <w:p w:rsidR="005A62C2" w:rsidRDefault="005A62C2" w:rsidP="006E1BC5">
                                  <w:pPr>
                                    <w:pStyle w:val="Heading4"/>
                                  </w:pPr>
                                </w:p>
                                <w:p w:rsidR="00617211" w:rsidRDefault="00617211" w:rsidP="00617211">
                                  <w:pPr>
                                    <w:pStyle w:val="Heading4"/>
                                  </w:pPr>
                                </w:p>
                                <w:p w:rsidR="00617211" w:rsidRPr="00F0386A" w:rsidRDefault="00617211" w:rsidP="00617211">
                                  <w:pPr>
                                    <w:pStyle w:val="Heading4"/>
                                  </w:pP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inline>
                  </w:drawing>
                </mc:Choice>
                <mc:Fallback>
                  <w:pict>
                    <v:shapetype w14:anchorId="47F2F149" id="_x0000_t202" coordsize="21600,21600" o:spt="202" path="m,l,21600r21600,l21600,xe">
                      <v:stroke joinstyle="miter"/>
                      <v:path gradientshapeok="t" o:connecttype="rect"/>
                    </v:shapetype>
                    <v:shape id="Text Box 21" o:spid="_x0000_s1026" type="#_x0000_t202" style="width:555.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" filled="f" stroked="f" strokeweight=".5pt">
                      <v:textbox inset="21.6pt,,21.6pt">
                        <w:txbxContent>
                          <w:p w:rsidR="00617211" w:rsidRDefault="00617211" w:rsidP="006E1BC5">
                            <w:pPr>
                              <w:pStyle w:val="Heading4"/>
                            </w:pPr>
                            <w:r w:rsidRPr="00A240FA">
                              <w:rPr>
                                <w:noProof/>
                                <w:lang w:val="en-GB" w:eastAsia="en-GB"/>
                              </w:rPr>
                              <w:drawing>
                                <wp:inline distT="0" distB="0" distL="0" distR="0" wp14:anchorId="220F2E99" wp14:editId="3B7B6871">
                                  <wp:extent cx="1209675" cy="390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617211" w:rsidRDefault="00617211" w:rsidP="006E1BC5">
                            <w:pPr>
                              <w:pStyle w:val="Heading4"/>
                            </w:pPr>
                            <w:r>
                              <w:t>Yorkshire &amp; District Association</w:t>
                            </w:r>
                            <w:r w:rsidR="00D80A39">
                              <w:t xml:space="preserve"> </w:t>
                            </w:r>
                            <w:r w:rsidR="008325BA">
                              <w:t>Vulnerability Seminar</w:t>
                            </w:r>
                          </w:p>
                          <w:p w:rsidR="005A62C2" w:rsidRDefault="005A62C2" w:rsidP="006E1BC5">
                            <w:pPr>
                              <w:pStyle w:val="Heading4"/>
                            </w:pPr>
                          </w:p>
                          <w:p w:rsidR="00617211" w:rsidRDefault="00617211" w:rsidP="00617211">
                            <w:pPr>
                              <w:pStyle w:val="Heading4"/>
                            </w:pPr>
                          </w:p>
                          <w:p w:rsidR="00617211" w:rsidRPr="00F0386A" w:rsidRDefault="00617211" w:rsidP="00617211">
                            <w:pPr>
                              <w:pStyle w:val="Heading4"/>
                            </w:pPr>
                          </w:p>
                        </w:txbxContent>
                      </v:textbox>
                      <w10:anchorlock/>
                    </v:shape>
                  </w:pict>
                </mc:Fallback>
              </mc:AlternateContent>
            </w:r>
            <w:r>
              <w:rPr>
                <w:noProof/>
                <w:lang w:val="en-GB" w:eastAsia="en-GB"/>
              </w:rPr>
              <w:t xml:space="preserve">    </w:t>
            </w:r>
          </w:p>
          <w:p w:rsidR="0021274C" w:rsidRPr="001C5776" w:rsidRDefault="005A62C2" w:rsidP="008325BA">
            <w:pPr>
              <w:rPr>
                <w:sz w:val="28"/>
                <w:szCs w:val="28"/>
              </w:rPr>
            </w:pPr>
            <w:r w:rsidRPr="001C5776">
              <w:rPr>
                <w:sz w:val="28"/>
                <w:szCs w:val="28"/>
              </w:rPr>
              <w:t xml:space="preserve">Our President Samantha Smith would like to </w:t>
            </w:r>
            <w:r w:rsidR="008325BA" w:rsidRPr="001C5776">
              <w:rPr>
                <w:sz w:val="28"/>
                <w:szCs w:val="28"/>
              </w:rPr>
              <w:t>inform you that we have an event not to be missed on the 27</w:t>
            </w:r>
            <w:r w:rsidR="008325BA" w:rsidRPr="001C5776">
              <w:rPr>
                <w:sz w:val="28"/>
                <w:szCs w:val="28"/>
                <w:vertAlign w:val="superscript"/>
              </w:rPr>
              <w:t>th</w:t>
            </w:r>
            <w:r w:rsidR="008325BA" w:rsidRPr="001C5776">
              <w:rPr>
                <w:sz w:val="28"/>
                <w:szCs w:val="28"/>
              </w:rPr>
              <w:t xml:space="preserve"> November</w:t>
            </w:r>
          </w:p>
          <w:p w:rsidR="00461EEF" w:rsidRPr="001C5776" w:rsidRDefault="00461EEF" w:rsidP="00895E84">
            <w:pPr>
              <w:rPr>
                <w:sz w:val="28"/>
                <w:szCs w:val="28"/>
              </w:rPr>
            </w:pPr>
            <w:r w:rsidRPr="001C5776">
              <w:rPr>
                <w:sz w:val="28"/>
                <w:szCs w:val="28"/>
              </w:rPr>
              <w:t>Venue:</w:t>
            </w:r>
            <w:r w:rsidR="00895E84">
              <w:rPr>
                <w:sz w:val="28"/>
                <w:szCs w:val="28"/>
              </w:rPr>
              <w:t xml:space="preserve"> </w:t>
            </w:r>
            <w:r w:rsidR="00895E84" w:rsidRPr="00895E84">
              <w:rPr>
                <w:b/>
                <w:color w:val="FF0000"/>
                <w:sz w:val="28"/>
                <w:szCs w:val="28"/>
                <w:u w:val="single"/>
              </w:rPr>
              <w:t>Country Living St George Hotel, 1 Ripon Road, Harrogate, HG1 2SY</w:t>
            </w:r>
            <w:r w:rsidR="00895E84" w:rsidRPr="00895E84">
              <w:rPr>
                <w:color w:val="FF0000"/>
                <w:sz w:val="28"/>
                <w:szCs w:val="28"/>
              </w:rPr>
              <w:t xml:space="preserve"> </w:t>
            </w:r>
            <w:r w:rsidRPr="001C5776">
              <w:rPr>
                <w:sz w:val="28"/>
                <w:szCs w:val="28"/>
              </w:rPr>
              <w:t xml:space="preserve">– Registration 9:30am 3:30pm Finish </w:t>
            </w:r>
          </w:p>
          <w:p w:rsidR="008325BA" w:rsidRPr="00004DCC" w:rsidRDefault="00461EEF" w:rsidP="008325BA">
            <w:pPr>
              <w:rPr>
                <w:b/>
                <w:szCs w:val="24"/>
              </w:rPr>
            </w:pPr>
            <w:r>
              <w:rPr>
                <w:sz w:val="36"/>
                <w:szCs w:val="36"/>
              </w:rPr>
              <w:t xml:space="preserve"> </w:t>
            </w:r>
            <w:r w:rsidRPr="00004DCC">
              <w:rPr>
                <w:b/>
                <w:color w:val="007DB1" w:themeColor="text2" w:themeTint="BF"/>
                <w:szCs w:val="24"/>
              </w:rPr>
              <w:t>Lunch and refreshments will be provided</w:t>
            </w:r>
          </w:p>
          <w:p w:rsidR="008325BA" w:rsidRPr="00004DCC" w:rsidRDefault="005B609D" w:rsidP="00B47E14">
            <w:pPr>
              <w:rPr>
                <w:sz w:val="28"/>
                <w:szCs w:val="28"/>
              </w:rPr>
            </w:pPr>
            <w:r w:rsidRPr="00004DCC">
              <w:rPr>
                <w:sz w:val="28"/>
                <w:szCs w:val="28"/>
              </w:rPr>
              <w:t>Treating Customers with Respect and Dignity by using Data Analytics for Decision Making</w:t>
            </w:r>
            <w:r w:rsidR="001C5776" w:rsidRPr="00004DCC">
              <w:rPr>
                <w:sz w:val="28"/>
                <w:szCs w:val="28"/>
              </w:rPr>
              <w:t xml:space="preserve"> and </w:t>
            </w:r>
            <w:r w:rsidR="00E640A8" w:rsidRPr="00004DCC">
              <w:rPr>
                <w:sz w:val="28"/>
                <w:szCs w:val="28"/>
              </w:rPr>
              <w:t>a Better</w:t>
            </w:r>
            <w:r w:rsidR="001C5776" w:rsidRPr="00004DCC">
              <w:rPr>
                <w:sz w:val="28"/>
                <w:szCs w:val="28"/>
              </w:rPr>
              <w:t xml:space="preserve"> Treatment Route</w:t>
            </w:r>
            <w:r w:rsidRPr="00004DCC">
              <w:rPr>
                <w:sz w:val="28"/>
                <w:szCs w:val="28"/>
              </w:rPr>
              <w:t xml:space="preserve"> </w:t>
            </w:r>
          </w:p>
          <w:p w:rsidR="008325BA" w:rsidRPr="00E34BB9" w:rsidRDefault="008325BA" w:rsidP="00E34BB9">
            <w:pPr>
              <w:rPr>
                <w:b/>
                <w:sz w:val="22"/>
                <w:szCs w:val="22"/>
              </w:rPr>
            </w:pPr>
            <w:r w:rsidRPr="00E34BB9">
              <w:rPr>
                <w:b/>
                <w:sz w:val="22"/>
                <w:szCs w:val="22"/>
              </w:rPr>
              <w:t>Confirmed Speakers:</w:t>
            </w:r>
          </w:p>
          <w:p w:rsidR="000C34E2" w:rsidRDefault="000C34E2" w:rsidP="008C4A35">
            <w:pPr>
              <w:jc w:val="both"/>
              <w:rPr>
                <w:szCs w:val="24"/>
              </w:rPr>
            </w:pPr>
            <w:r>
              <w:rPr>
                <w:szCs w:val="24"/>
              </w:rPr>
              <w:t xml:space="preserve">David Magor OBE – IRRV </w:t>
            </w:r>
            <w:r w:rsidR="00891309">
              <w:rPr>
                <w:szCs w:val="24"/>
              </w:rPr>
              <w:t xml:space="preserve">Chief Executive </w:t>
            </w:r>
          </w:p>
          <w:p w:rsidR="008C4A35" w:rsidRPr="008C4A35" w:rsidRDefault="008325BA" w:rsidP="008C4A35">
            <w:pPr>
              <w:jc w:val="both"/>
              <w:rPr>
                <w:sz w:val="32"/>
                <w:szCs w:val="32"/>
              </w:rPr>
            </w:pPr>
            <w:r w:rsidRPr="00782296">
              <w:rPr>
                <w:szCs w:val="24"/>
              </w:rPr>
              <w:t>Joseph Surtees</w:t>
            </w:r>
            <w:r w:rsidR="0083632D" w:rsidRPr="00782296">
              <w:rPr>
                <w:szCs w:val="24"/>
              </w:rPr>
              <w:t xml:space="preserve"> - Head of Debt Function Policy, </w:t>
            </w:r>
            <w:r w:rsidRPr="00782296">
              <w:rPr>
                <w:szCs w:val="24"/>
              </w:rPr>
              <w:t>Gove</w:t>
            </w:r>
            <w:r w:rsidR="0083632D" w:rsidRPr="00782296">
              <w:rPr>
                <w:szCs w:val="24"/>
              </w:rPr>
              <w:t xml:space="preserve">rnment Debt Management Function, </w:t>
            </w:r>
            <w:r w:rsidRPr="00782296">
              <w:rPr>
                <w:szCs w:val="24"/>
              </w:rPr>
              <w:t>F</w:t>
            </w:r>
            <w:r w:rsidR="0083632D" w:rsidRPr="00782296">
              <w:rPr>
                <w:szCs w:val="24"/>
              </w:rPr>
              <w:t xml:space="preserve">raud, Error, Debt, and Grants - </w:t>
            </w:r>
            <w:r w:rsidRPr="00782296">
              <w:rPr>
                <w:szCs w:val="24"/>
              </w:rPr>
              <w:t>Cabinet Office</w:t>
            </w:r>
            <w:r w:rsidR="008C4A35">
              <w:rPr>
                <w:sz w:val="32"/>
                <w:szCs w:val="32"/>
              </w:rPr>
              <w:t xml:space="preserve"> </w:t>
            </w:r>
            <w:r w:rsidR="008C4A35" w:rsidRPr="008C4A35">
              <w:rPr>
                <w:sz w:val="20"/>
                <w:szCs w:val="20"/>
              </w:rPr>
              <w:t>Joseph Surtees is Head of Policy of the Cabinet Office's Debt Function, which sets the strategic direction for government debt management, promoting and sharing best practice and common processes. In this role he oversees the government fairness in debt collection agenda, working closely with partners across sectors.</w:t>
            </w:r>
          </w:p>
          <w:p w:rsidR="008325BA" w:rsidRPr="008C4A35" w:rsidRDefault="008C4A35" w:rsidP="008C4A35">
            <w:pPr>
              <w:jc w:val="both"/>
              <w:rPr>
                <w:sz w:val="20"/>
                <w:szCs w:val="20"/>
              </w:rPr>
            </w:pPr>
            <w:r w:rsidRPr="008C4A35">
              <w:rPr>
                <w:sz w:val="20"/>
                <w:szCs w:val="20"/>
              </w:rPr>
              <w:t>Joseph joined the Cabinet Office from the Money and Pensions Service, where he helped design the organisations policy promoting financial resilience among working age adults. Previously he was at StepChange, the debt advice charity, running campaigns on the use of cold calling, low-income saving and debt enforcement</w:t>
            </w:r>
          </w:p>
          <w:p w:rsidR="0083632D" w:rsidRDefault="0083632D" w:rsidP="0083632D">
            <w:pPr>
              <w:jc w:val="both"/>
              <w:rPr>
                <w:sz w:val="32"/>
                <w:szCs w:val="32"/>
              </w:rPr>
            </w:pPr>
            <w:r w:rsidRPr="00782296">
              <w:rPr>
                <w:szCs w:val="24"/>
              </w:rPr>
              <w:t>Jonathan Shaw - Creditor Relationship Manager - Christians Against Poverty</w:t>
            </w:r>
            <w:r w:rsidR="000F6385">
              <w:rPr>
                <w:sz w:val="32"/>
                <w:szCs w:val="32"/>
              </w:rPr>
              <w:t xml:space="preserve"> - </w:t>
            </w:r>
            <w:r w:rsidR="000F6385" w:rsidRPr="000F6385">
              <w:rPr>
                <w:sz w:val="20"/>
                <w:szCs w:val="20"/>
              </w:rPr>
              <w:t>As part of CAP's External Affairs team I manage our relationships within the Enforcement industry and assist in resolving any operational issues that may arise. As an organisation we've striving to reach more indebted households across the UK, to bring those in isolation into community, and to give people hope of a better future, free from debt.</w:t>
            </w:r>
            <w:r w:rsidR="000F6385" w:rsidRPr="000F6385">
              <w:rPr>
                <w:sz w:val="32"/>
                <w:szCs w:val="32"/>
              </w:rPr>
              <w:t xml:space="preserve"> </w:t>
            </w:r>
            <w:r w:rsidR="000F6385">
              <w:rPr>
                <w:sz w:val="32"/>
                <w:szCs w:val="32"/>
              </w:rPr>
              <w:t xml:space="preserve"> </w:t>
            </w:r>
          </w:p>
          <w:p w:rsidR="0083632D" w:rsidRPr="006D21D0" w:rsidRDefault="0083632D" w:rsidP="0083632D">
            <w:pPr>
              <w:jc w:val="both"/>
              <w:rPr>
                <w:sz w:val="20"/>
                <w:szCs w:val="20"/>
              </w:rPr>
            </w:pPr>
            <w:r w:rsidRPr="00782296">
              <w:rPr>
                <w:szCs w:val="24"/>
              </w:rPr>
              <w:t>Mark Fearn IRRV (Hons) - Project Lead / Interim Head of Service, Resources and Transformation - Walsall Council</w:t>
            </w:r>
            <w:r w:rsidR="006D21D0">
              <w:rPr>
                <w:szCs w:val="24"/>
              </w:rPr>
              <w:t xml:space="preserve"> -</w:t>
            </w:r>
            <w:r w:rsidR="006D21D0">
              <w:t xml:space="preserve"> </w:t>
            </w:r>
            <w:r w:rsidR="006D21D0" w:rsidRPr="006D21D0">
              <w:rPr>
                <w:sz w:val="20"/>
                <w:szCs w:val="20"/>
              </w:rPr>
              <w:t>Mark as 34 years’ experience in Revenues with both single and two tier local authorities. He currently is the Revenue and Benefits Manager at Walsall Council. Mark as twice previously been President of the East Midlands Association of the IRRV and is a member of the Institute’s Local Taxation and Revenue Faculty Board</w:t>
            </w:r>
          </w:p>
          <w:p w:rsidR="00502DE9" w:rsidRPr="00782296" w:rsidRDefault="00502DE9" w:rsidP="0083632D">
            <w:pPr>
              <w:jc w:val="both"/>
              <w:rPr>
                <w:szCs w:val="24"/>
              </w:rPr>
            </w:pPr>
            <w:r w:rsidRPr="00782296">
              <w:rPr>
                <w:szCs w:val="24"/>
              </w:rPr>
              <w:t>Darren Kelk MCICM IRRV – Managing Director – Ascendant Solutions Limited</w:t>
            </w:r>
            <w:r w:rsidR="00CE3C1E">
              <w:rPr>
                <w:szCs w:val="24"/>
              </w:rPr>
              <w:t xml:space="preserve"> - H</w:t>
            </w:r>
            <w:r w:rsidR="00CE3C1E">
              <w:rPr>
                <w:sz w:val="20"/>
                <w:szCs w:val="20"/>
              </w:rPr>
              <w:t>as</w:t>
            </w:r>
            <w:r w:rsidR="00CE3C1E" w:rsidRPr="00CE3C1E">
              <w:rPr>
                <w:sz w:val="20"/>
                <w:szCs w:val="20"/>
              </w:rPr>
              <w:t xml:space="preserve"> over 23 years’ experience in the enforcement and debt collection sector working on behalf of agencies in specialist areas. High volume low value consumer debt, commercial debt, tracing, building data platforms, debt purchase, field operations, local and central government and out sourcing.</w:t>
            </w:r>
          </w:p>
          <w:p w:rsidR="00782296" w:rsidRPr="000F6385" w:rsidRDefault="00782296" w:rsidP="00782296">
            <w:pPr>
              <w:jc w:val="both"/>
              <w:rPr>
                <w:sz w:val="28"/>
                <w:szCs w:val="28"/>
              </w:rPr>
            </w:pPr>
            <w:r w:rsidRPr="00782296">
              <w:rPr>
                <w:szCs w:val="24"/>
              </w:rPr>
              <w:t>Edd Moore - Social Value Manager - Capita Enforcement | Specialist Services</w:t>
            </w:r>
            <w:r>
              <w:rPr>
                <w:sz w:val="28"/>
                <w:szCs w:val="28"/>
              </w:rPr>
              <w:t xml:space="preserve"> - </w:t>
            </w:r>
            <w:r w:rsidRPr="00782296">
              <w:rPr>
                <w:sz w:val="20"/>
                <w:szCs w:val="20"/>
              </w:rPr>
              <w:t>Edd is the first Social Value Manager to be recruited within the enforcement industry. With several years of experience delivering projects into communities, and working with vulnerable customers within enforcement, Edd is well placed to talk about how to use technology to help identify and protect vulnerable customers. Edd is a regular contributor towards Insights magazine, and hosts webinars on the subjects of Social Value and Vulnerability.</w:t>
            </w:r>
          </w:p>
          <w:p w:rsidR="00502DE9" w:rsidRPr="003F71A0" w:rsidRDefault="00323961" w:rsidP="0083632D">
            <w:pPr>
              <w:jc w:val="both"/>
              <w:rPr>
                <w:szCs w:val="24"/>
              </w:rPr>
            </w:pPr>
            <w:r w:rsidRPr="00323961">
              <w:rPr>
                <w:szCs w:val="24"/>
              </w:rPr>
              <w:t xml:space="preserve">Sarah Naylor </w:t>
            </w:r>
            <w:r w:rsidR="00A878E6" w:rsidRPr="003F71A0">
              <w:rPr>
                <w:szCs w:val="24"/>
              </w:rPr>
              <w:t xml:space="preserve">– </w:t>
            </w:r>
            <w:r>
              <w:rPr>
                <w:szCs w:val="24"/>
              </w:rPr>
              <w:t xml:space="preserve">Marketing Manager - </w:t>
            </w:r>
            <w:r>
              <w:t xml:space="preserve"> </w:t>
            </w:r>
            <w:r w:rsidRPr="00323961">
              <w:rPr>
                <w:szCs w:val="24"/>
              </w:rPr>
              <w:t>Dukes Bailiffs</w:t>
            </w:r>
          </w:p>
          <w:p w:rsidR="00502DE9" w:rsidRPr="003F71A0" w:rsidRDefault="00502DE9" w:rsidP="0083632D">
            <w:pPr>
              <w:jc w:val="both"/>
              <w:rPr>
                <w:szCs w:val="24"/>
              </w:rPr>
            </w:pPr>
            <w:r w:rsidRPr="003F71A0">
              <w:rPr>
                <w:szCs w:val="24"/>
              </w:rPr>
              <w:t>Paul Bowden – Partner - Wilkin Chapman LLP</w:t>
            </w:r>
          </w:p>
          <w:p w:rsidR="00502DE9" w:rsidRPr="00B84165" w:rsidRDefault="00E640A8" w:rsidP="00B84165">
            <w:pPr>
              <w:jc w:val="both"/>
              <w:rPr>
                <w:szCs w:val="24"/>
              </w:rPr>
            </w:pPr>
            <w:r w:rsidRPr="003F71A0">
              <w:rPr>
                <w:szCs w:val="24"/>
              </w:rPr>
              <w:t>IE HUB</w:t>
            </w:r>
            <w:r w:rsidR="00502DE9" w:rsidRPr="003F71A0">
              <w:rPr>
                <w:szCs w:val="24"/>
              </w:rPr>
              <w:t xml:space="preserve"> – </w:t>
            </w:r>
            <w:r w:rsidRPr="003F71A0">
              <w:rPr>
                <w:szCs w:val="24"/>
              </w:rPr>
              <w:t>CEO – Sarah Lambert</w:t>
            </w:r>
            <w:r w:rsidR="00B84165">
              <w:rPr>
                <w:szCs w:val="24"/>
              </w:rPr>
              <w:t xml:space="preserve"> - </w:t>
            </w:r>
            <w:r w:rsidR="00B84165" w:rsidRPr="00B84165">
              <w:rPr>
                <w:sz w:val="20"/>
                <w:szCs w:val="20"/>
              </w:rPr>
              <w:t>Previously CEO of a Debt Purchase business Sarah has worked in the collection industry for over 20 years. She currently works in the FinTech sector, using technology to identify and assist vulnerable customers allowing them to build a budget and share their affordability situation with multiple industries. Sarah has always been passionate about ensuring customers are at the heart of an organisation and its people, delivering 1st class service to consumers when they are facing financial and mental health pressures in their lives</w:t>
            </w:r>
          </w:p>
          <w:p w:rsidR="0011176C" w:rsidRPr="0011176C" w:rsidRDefault="009F4E1B" w:rsidP="0011176C">
            <w:pPr>
              <w:jc w:val="both"/>
              <w:rPr>
                <w:sz w:val="20"/>
                <w:szCs w:val="20"/>
              </w:rPr>
            </w:pPr>
            <w:r>
              <w:rPr>
                <w:szCs w:val="24"/>
              </w:rPr>
              <w:t>Dr Phil Smith</w:t>
            </w:r>
            <w:r w:rsidR="005B5A6E">
              <w:rPr>
                <w:szCs w:val="24"/>
              </w:rPr>
              <w:t xml:space="preserve"> – DWP </w:t>
            </w:r>
            <w:r w:rsidR="00891309">
              <w:rPr>
                <w:szCs w:val="24"/>
              </w:rPr>
              <w:t>–</w:t>
            </w:r>
            <w:r w:rsidR="005B5A6E">
              <w:rPr>
                <w:szCs w:val="24"/>
              </w:rPr>
              <w:t xml:space="preserve"> </w:t>
            </w:r>
            <w:r w:rsidR="0011176C" w:rsidRPr="0011176C">
              <w:rPr>
                <w:sz w:val="20"/>
                <w:szCs w:val="20"/>
              </w:rPr>
              <w:t>Phil’s  background is from 15 years cross government experience in ensuring high quality analysis drives policy and operati</w:t>
            </w:r>
            <w:r w:rsidR="0011176C">
              <w:rPr>
                <w:sz w:val="20"/>
                <w:szCs w:val="20"/>
              </w:rPr>
              <w:t>onal decision making processes. C</w:t>
            </w:r>
            <w:r w:rsidR="0011176C" w:rsidRPr="0011176C">
              <w:rPr>
                <w:sz w:val="20"/>
                <w:szCs w:val="20"/>
              </w:rPr>
              <w:t>urrently accountable for a suite of products managed by the Risk and Intelligence service to promote increased performance and efficiency within DWP and Other Government Departments’ Debt operations.</w:t>
            </w:r>
          </w:p>
          <w:p w:rsidR="00502DE9" w:rsidRPr="0011176C" w:rsidRDefault="0011176C" w:rsidP="0011176C">
            <w:pPr>
              <w:jc w:val="both"/>
              <w:rPr>
                <w:sz w:val="20"/>
                <w:szCs w:val="20"/>
              </w:rPr>
            </w:pPr>
            <w:r w:rsidRPr="0011176C">
              <w:rPr>
                <w:sz w:val="20"/>
                <w:szCs w:val="20"/>
              </w:rPr>
              <w:t>This includes forecasting debt and debtor stock, recoveries and resource, providing analytical insight into processes and customer movements and supporting the delivery of improved digital products to achieve this.</w:t>
            </w:r>
          </w:p>
          <w:p w:rsidR="006F5E1E" w:rsidRPr="006E1BC5" w:rsidRDefault="006F5E1E" w:rsidP="006E1BC5">
            <w:pPr>
              <w:jc w:val="left"/>
              <w:rPr>
                <w:szCs w:val="24"/>
              </w:rPr>
            </w:pPr>
          </w:p>
          <w:p w:rsidR="005A62C2" w:rsidRPr="00004DCC" w:rsidRDefault="006F5E1E" w:rsidP="005A62C2">
            <w:pPr>
              <w:jc w:val="left"/>
              <w:rPr>
                <w:sz w:val="16"/>
                <w:szCs w:val="16"/>
              </w:rPr>
            </w:pPr>
            <w:r w:rsidRPr="00004DCC">
              <w:rPr>
                <w:sz w:val="16"/>
                <w:szCs w:val="16"/>
              </w:rPr>
              <w:t>Any questions, booking form</w:t>
            </w:r>
            <w:r w:rsidR="001C5776" w:rsidRPr="00004DCC">
              <w:rPr>
                <w:sz w:val="16"/>
                <w:szCs w:val="16"/>
              </w:rPr>
              <w:t xml:space="preserve"> (at the end of this flyer)</w:t>
            </w:r>
            <w:r w:rsidRPr="00004DCC">
              <w:rPr>
                <w:sz w:val="16"/>
                <w:szCs w:val="16"/>
              </w:rPr>
              <w:t xml:space="preserve"> or further information required please contact Darren – see details below</w:t>
            </w:r>
          </w:p>
          <w:p w:rsidR="0021274C" w:rsidRPr="0021274C" w:rsidRDefault="0021274C" w:rsidP="005A62C2"/>
          <w:tbl>
            <w:tblPr>
              <w:tblpPr w:leftFromText="180" w:rightFromText="180" w:vertAnchor="text" w:horzAnchor="margin" w:tblpY="22"/>
              <w:tblW w:w="12263" w:type="dxa"/>
              <w:tblLayout w:type="fixed"/>
              <w:tblCellMar>
                <w:left w:w="0" w:type="dxa"/>
                <w:right w:w="0" w:type="dxa"/>
              </w:tblCellMar>
              <w:tblLook w:val="0000" w:firstRow="0" w:lastRow="0" w:firstColumn="0" w:lastColumn="0" w:noHBand="0" w:noVBand="0"/>
            </w:tblPr>
            <w:tblGrid>
              <w:gridCol w:w="6235"/>
              <w:gridCol w:w="6028"/>
            </w:tblGrid>
            <w:tr w:rsidR="00A240FA" w:rsidTr="00E80131">
              <w:trPr>
                <w:trHeight w:val="781"/>
              </w:trPr>
              <w:tc>
                <w:tcPr>
                  <w:tcW w:w="4261" w:type="dxa"/>
                  <w:shd w:val="clear" w:color="auto" w:fill="FEE254" w:themeFill="accent3"/>
                  <w:vAlign w:val="center"/>
                </w:tcPr>
                <w:p w:rsidR="00A240FA" w:rsidRDefault="00A240FA" w:rsidP="005A62C2">
                  <w:pPr>
                    <w:pStyle w:val="Heading4"/>
                    <w:spacing w:before="240" w:after="40"/>
                    <w:ind w:left="720"/>
                    <w:jc w:val="left"/>
                    <w:rPr>
                      <w:b/>
                      <w:noProof/>
                    </w:rPr>
                  </w:pPr>
                  <w:r>
                    <w:rPr>
                      <w:b/>
                      <w:noProof/>
                    </w:rPr>
                    <w:t>Secretary</w:t>
                  </w:r>
                </w:p>
                <w:p w:rsidR="00A240FA" w:rsidRPr="00DD66F7" w:rsidRDefault="00A240FA" w:rsidP="005A62C2">
                  <w:pPr>
                    <w:spacing w:after="240"/>
                    <w:ind w:left="720"/>
                    <w:jc w:val="left"/>
                  </w:pPr>
                  <w:r>
                    <w:t xml:space="preserve">Darren Kelk </w:t>
                  </w:r>
                  <w:r w:rsidRPr="00BB1C07">
                    <w:t>MCICM</w:t>
                  </w:r>
                  <w:r>
                    <w:t>,</w:t>
                  </w:r>
                  <w:r w:rsidRPr="00BB1C07">
                    <w:t xml:space="preserve"> IRRV</w:t>
                  </w:r>
                </w:p>
              </w:tc>
              <w:tc>
                <w:tcPr>
                  <w:tcW w:w="4119" w:type="dxa"/>
                  <w:shd w:val="clear" w:color="auto" w:fill="FEE254" w:themeFill="accent3"/>
                  <w:vAlign w:val="center"/>
                </w:tcPr>
                <w:p w:rsidR="00A240FA" w:rsidRDefault="00A240FA" w:rsidP="005A62C2">
                  <w:pPr>
                    <w:jc w:val="left"/>
                  </w:pPr>
                </w:p>
                <w:p w:rsidR="00A240FA" w:rsidRDefault="00A240FA" w:rsidP="005A62C2">
                  <w:pPr>
                    <w:jc w:val="left"/>
                  </w:pPr>
                  <w:r>
                    <w:t xml:space="preserve">Phone:  </w:t>
                  </w:r>
                  <w:r w:rsidRPr="00BB1C07">
                    <w:t>07834 552 186</w:t>
                  </w:r>
                </w:p>
                <w:p w:rsidR="00A240FA" w:rsidRDefault="00A240FA" w:rsidP="005A62C2">
                  <w:pPr>
                    <w:jc w:val="left"/>
                  </w:pPr>
                  <w:r w:rsidRPr="00DD66F7">
                    <w:t xml:space="preserve">E-mail: </w:t>
                  </w:r>
                  <w:r>
                    <w:t>darren.kelk@ascendantsol.co.uk</w:t>
                  </w:r>
                </w:p>
                <w:p w:rsidR="00A240FA" w:rsidRDefault="00A240FA" w:rsidP="005A62C2">
                  <w:pPr>
                    <w:jc w:val="left"/>
                  </w:pPr>
                  <w:r w:rsidRPr="00BB1C07">
                    <w:t>www.ascendantsol.co.uk</w:t>
                  </w:r>
                </w:p>
              </w:tc>
            </w:tr>
          </w:tbl>
          <w:p w:rsidR="00A240FA" w:rsidRPr="0021274C" w:rsidRDefault="00A240FA" w:rsidP="005A62C2">
            <w:pPr>
              <w:jc w:val="both"/>
            </w:pPr>
          </w:p>
        </w:tc>
      </w:tr>
      <w:tr w:rsidR="005A62C2" w:rsidTr="006E1BC5">
        <w:trPr>
          <w:trHeight w:val="7230"/>
        </w:trPr>
        <w:tc>
          <w:tcPr>
            <w:tcW w:w="11340" w:type="dxa"/>
          </w:tcPr>
          <w:p w:rsidR="002B68D1" w:rsidRDefault="00DA7EF5" w:rsidP="006F5E1E">
            <w:pPr>
              <w:jc w:val="both"/>
              <w:rPr>
                <w:noProof/>
                <w:lang w:val="en-GB" w:eastAsia="en-GB"/>
              </w:rPr>
            </w:pPr>
            <w:r>
              <w:rPr>
                <w:noProof/>
                <w:lang w:val="en-GB" w:eastAsia="en-GB"/>
              </w:rPr>
              <w:lastRenderedPageBreak/>
              <w:t xml:space="preserve">    </w:t>
            </w:r>
          </w:p>
          <w:p w:rsidR="002B68D1" w:rsidRDefault="002B68D1" w:rsidP="006F5E1E">
            <w:pPr>
              <w:jc w:val="both"/>
              <w:rPr>
                <w:noProof/>
                <w:lang w:val="en-GB" w:eastAsia="en-GB"/>
              </w:rPr>
            </w:pPr>
          </w:p>
          <w:p w:rsidR="002B68D1" w:rsidRDefault="002B68D1" w:rsidP="006F5E1E">
            <w:pPr>
              <w:jc w:val="both"/>
              <w:rPr>
                <w:noProof/>
                <w:lang w:val="en-GB" w:eastAsia="en-GB"/>
              </w:rPr>
            </w:pPr>
          </w:p>
          <w:p w:rsidR="005A62C2" w:rsidRDefault="002B68D1" w:rsidP="006F5E1E">
            <w:pPr>
              <w:jc w:val="both"/>
              <w:rPr>
                <w:noProof/>
                <w:lang w:val="en-GB" w:eastAsia="en-GB"/>
              </w:rPr>
            </w:pPr>
            <w:r>
              <w:rPr>
                <w:noProof/>
                <w:lang w:val="en-GB" w:eastAsia="en-GB"/>
              </w:rPr>
              <w:drawing>
                <wp:inline distT="0" distB="0" distL="0" distR="0" wp14:anchorId="601F7813">
                  <wp:extent cx="19691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676910"/>
                          </a:xfrm>
                          <a:prstGeom prst="rect">
                            <a:avLst/>
                          </a:prstGeom>
                          <a:noFill/>
                        </pic:spPr>
                      </pic:pic>
                    </a:graphicData>
                  </a:graphic>
                </wp:inline>
              </w:drawing>
            </w:r>
            <w:r w:rsidR="00DA7EF5">
              <w:rPr>
                <w:noProof/>
                <w:lang w:val="en-GB" w:eastAsia="en-GB"/>
              </w:rPr>
              <w:t xml:space="preserve">          </w:t>
            </w:r>
            <w:r w:rsidR="00DA7EF5" w:rsidRPr="005415E0">
              <w:rPr>
                <w:noProof/>
                <w:lang w:val="en-GB" w:eastAsia="en-GB"/>
              </w:rPr>
              <w:drawing>
                <wp:inline distT="0" distB="0" distL="0" distR="0" wp14:anchorId="396637E8" wp14:editId="217B84BE">
                  <wp:extent cx="2357012" cy="398053"/>
                  <wp:effectExtent l="0" t="0" r="5715" b="2540"/>
                  <wp:docPr id="8" name="Picture 8" descr="C:\Users\kelek\Downloads\2016-rgb-blue-jacob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ek\Downloads\2016-rgb-blue-jacobs-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4786" cy="402743"/>
                          </a:xfrm>
                          <a:prstGeom prst="rect">
                            <a:avLst/>
                          </a:prstGeom>
                          <a:noFill/>
                          <a:ln>
                            <a:noFill/>
                          </a:ln>
                        </pic:spPr>
                      </pic:pic>
                    </a:graphicData>
                  </a:graphic>
                </wp:inline>
              </w:drawing>
            </w:r>
            <w:r w:rsidR="00DA7EF5">
              <w:rPr>
                <w:noProof/>
                <w:lang w:val="en-GB" w:eastAsia="en-GB"/>
              </w:rPr>
              <w:t xml:space="preserve">          </w:t>
            </w:r>
            <w:r w:rsidR="00DA7EF5">
              <w:rPr>
                <w:noProof/>
                <w:lang w:val="en-GB" w:eastAsia="en-GB"/>
              </w:rPr>
              <w:drawing>
                <wp:inline distT="0" distB="0" distL="0" distR="0" wp14:anchorId="1FB74EC5" wp14:editId="56559569">
                  <wp:extent cx="2170430" cy="7131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713105"/>
                          </a:xfrm>
                          <a:prstGeom prst="rect">
                            <a:avLst/>
                          </a:prstGeom>
                          <a:noFill/>
                        </pic:spPr>
                      </pic:pic>
                    </a:graphicData>
                  </a:graphic>
                </wp:inline>
              </w:drawing>
            </w: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pPr>
            <w:r>
              <w:rPr>
                <w:noProof/>
                <w:lang w:val="en-GB" w:eastAsia="en-GB"/>
              </w:rPr>
              <w:drawing>
                <wp:inline distT="0" distB="0" distL="0" distR="0" wp14:anchorId="65E76F81" wp14:editId="7AAD9448">
                  <wp:extent cx="2682240" cy="4584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240" cy="458470"/>
                          </a:xfrm>
                          <a:prstGeom prst="rect">
                            <a:avLst/>
                          </a:prstGeom>
                          <a:noFill/>
                        </pic:spPr>
                      </pic:pic>
                    </a:graphicData>
                  </a:graphic>
                </wp:inline>
              </w:drawing>
            </w:r>
            <w:r>
              <w:rPr>
                <w:noProof/>
                <w:lang w:val="en-GB" w:eastAsia="en-GB"/>
              </w:rPr>
              <w:drawing>
                <wp:inline distT="0" distB="0" distL="0" distR="0" wp14:anchorId="4DE2306B" wp14:editId="79686896">
                  <wp:extent cx="1817793" cy="6893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6961" cy="696603"/>
                          </a:xfrm>
                          <a:prstGeom prst="rect">
                            <a:avLst/>
                          </a:prstGeom>
                          <a:noFill/>
                        </pic:spPr>
                      </pic:pic>
                    </a:graphicData>
                  </a:graphic>
                </wp:inline>
              </w:drawing>
            </w:r>
            <w:r>
              <w:rPr>
                <w:noProof/>
                <w:lang w:val="en-GB" w:eastAsia="en-GB"/>
              </w:rPr>
              <w:drawing>
                <wp:inline distT="0" distB="0" distL="0" distR="0" wp14:anchorId="7199737A" wp14:editId="26F005B5">
                  <wp:extent cx="2524125" cy="7572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6593" cy="757978"/>
                          </a:xfrm>
                          <a:prstGeom prst="rect">
                            <a:avLst/>
                          </a:prstGeom>
                          <a:noFill/>
                        </pic:spPr>
                      </pic:pic>
                    </a:graphicData>
                  </a:graphic>
                </wp:inline>
              </w:drawing>
            </w: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DA7EF5" w:rsidP="006F5E1E">
            <w:pPr>
              <w:jc w:val="both"/>
            </w:pPr>
            <w:r>
              <w:rPr>
                <w:noProof/>
                <w:lang w:val="en-GB" w:eastAsia="en-GB"/>
              </w:rPr>
              <w:drawing>
                <wp:inline distT="0" distB="0" distL="0" distR="0" wp14:anchorId="266F17B6" wp14:editId="0EED57E5">
                  <wp:extent cx="2249170" cy="5380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0789" cy="552746"/>
                          </a:xfrm>
                          <a:prstGeom prst="rect">
                            <a:avLst/>
                          </a:prstGeom>
                          <a:noFill/>
                        </pic:spPr>
                      </pic:pic>
                    </a:graphicData>
                  </a:graphic>
                </wp:inline>
              </w:drawing>
            </w:r>
            <w:r>
              <w:t xml:space="preserve">  </w:t>
            </w:r>
            <w:r>
              <w:rPr>
                <w:noProof/>
                <w:lang w:val="en-GB" w:eastAsia="en-GB"/>
              </w:rPr>
              <w:drawing>
                <wp:inline distT="0" distB="0" distL="0" distR="0" wp14:anchorId="102448FF" wp14:editId="5B11193B">
                  <wp:extent cx="2062200" cy="6203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5203" cy="621298"/>
                          </a:xfrm>
                          <a:prstGeom prst="rect">
                            <a:avLst/>
                          </a:prstGeom>
                          <a:noFill/>
                        </pic:spPr>
                      </pic:pic>
                    </a:graphicData>
                  </a:graphic>
                </wp:inline>
              </w:drawing>
            </w:r>
            <w:r w:rsidR="001D7CD1">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D7CD1" w:rsidRPr="001D7CD1">
              <w:rPr>
                <w:noProof/>
                <w:lang w:val="en-GB" w:eastAsia="en-GB"/>
              </w:rPr>
              <w:drawing>
                <wp:inline distT="0" distB="0" distL="0" distR="0">
                  <wp:extent cx="2167890" cy="690484"/>
                  <wp:effectExtent l="0" t="0" r="3810" b="0"/>
                  <wp:docPr id="5" name="Picture 5" descr="C:\Users\kelek\Downloads\Newlyn logo +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ek\Downloads\Newlyn logo + stra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7090" cy="709340"/>
                          </a:xfrm>
                          <a:prstGeom prst="rect">
                            <a:avLst/>
                          </a:prstGeom>
                          <a:noFill/>
                          <a:ln>
                            <a:noFill/>
                          </a:ln>
                        </pic:spPr>
                      </pic:pic>
                    </a:graphicData>
                  </a:graphic>
                </wp:inline>
              </w:drawing>
            </w:r>
          </w:p>
          <w:p w:rsidR="00DA7EF5" w:rsidRDefault="00DA7EF5" w:rsidP="006F5E1E">
            <w:pPr>
              <w:jc w:val="both"/>
              <w:rPr>
                <w:noProof/>
                <w:lang w:val="en-GB" w:eastAsia="en-GB"/>
              </w:rPr>
            </w:pPr>
          </w:p>
          <w:p w:rsidR="00DA7EF5" w:rsidRDefault="00DA7EF5" w:rsidP="006F5E1E">
            <w:pPr>
              <w:jc w:val="both"/>
              <w:rPr>
                <w:noProof/>
                <w:lang w:val="en-GB" w:eastAsia="en-GB"/>
              </w:rPr>
            </w:pPr>
          </w:p>
          <w:p w:rsidR="00DA7EF5" w:rsidRDefault="00401385" w:rsidP="006F5E1E">
            <w:pPr>
              <w:jc w:val="both"/>
              <w:rPr>
                <w:noProof/>
                <w:lang w:val="en-GB" w:eastAsia="en-GB"/>
              </w:rPr>
            </w:pPr>
            <w:r w:rsidRPr="001730CC">
              <w:rPr>
                <w:noProof/>
                <w:lang w:val="en-GB" w:eastAsia="en-GB"/>
              </w:rPr>
              <w:drawing>
                <wp:inline distT="0" distB="0" distL="0" distR="0" wp14:anchorId="3FB0792C" wp14:editId="70257236">
                  <wp:extent cx="2209800" cy="642975"/>
                  <wp:effectExtent l="0" t="0" r="0" b="5080"/>
                  <wp:docPr id="10" name="Picture 10" descr="C:\Users\kelek\Downloads\logo.whenfresh 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ek\Downloads\logo.whenfresh big.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9817" cy="706992"/>
                          </a:xfrm>
                          <a:prstGeom prst="rect">
                            <a:avLst/>
                          </a:prstGeom>
                          <a:noFill/>
                          <a:ln>
                            <a:noFill/>
                          </a:ln>
                        </pic:spPr>
                      </pic:pic>
                    </a:graphicData>
                  </a:graphic>
                </wp:inline>
              </w:drawing>
            </w:r>
            <w:r>
              <w:rPr>
                <w:noProof/>
                <w:lang w:val="en-GB" w:eastAsia="en-GB"/>
              </w:rPr>
              <w:t xml:space="preserve">        </w:t>
            </w:r>
            <w:r w:rsidRPr="00D006BD">
              <w:rPr>
                <w:noProof/>
                <w:lang w:val="en-GB" w:eastAsia="en-GB"/>
              </w:rPr>
              <w:drawing>
                <wp:inline distT="0" distB="0" distL="0" distR="0" wp14:anchorId="324BEE70" wp14:editId="26070978">
                  <wp:extent cx="2205355" cy="730066"/>
                  <wp:effectExtent l="0" t="0" r="4445" b="0"/>
                  <wp:docPr id="50" name="Picture 50" descr="C:\Users\kelek\Downloads\Dukes Logo_Blue_RGB_New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ek\Downloads\Dukes Logo_Blue_RGB_New_Lar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9196" cy="741269"/>
                          </a:xfrm>
                          <a:prstGeom prst="rect">
                            <a:avLst/>
                          </a:prstGeom>
                          <a:noFill/>
                          <a:ln>
                            <a:noFill/>
                          </a:ln>
                        </pic:spPr>
                      </pic:pic>
                    </a:graphicData>
                  </a:graphic>
                </wp:inline>
              </w:drawing>
            </w:r>
            <w:r>
              <w:rPr>
                <w:noProof/>
                <w:lang w:val="en-GB" w:eastAsia="en-GB"/>
              </w:rPr>
              <w:t xml:space="preserve">           </w:t>
            </w:r>
            <w:r w:rsidRPr="00DA7EF5">
              <w:rPr>
                <w:noProof/>
                <w:lang w:val="en-GB" w:eastAsia="en-GB"/>
              </w:rPr>
              <w:drawing>
                <wp:inline distT="0" distB="0" distL="0" distR="0" wp14:anchorId="3BE530B6" wp14:editId="628A7727">
                  <wp:extent cx="1543050" cy="1543050"/>
                  <wp:effectExtent l="0" t="0" r="0" b="0"/>
                  <wp:docPr id="48" name="Picture 48" descr="C:\Users\kelek\Downloads\Phoenix_H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ek\Downloads\Phoenix_HR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7521DB" w:rsidRDefault="007521DB" w:rsidP="006F5E1E">
            <w:pPr>
              <w:jc w:val="both"/>
              <w:rPr>
                <w:noProof/>
                <w:lang w:val="en-GB" w:eastAsia="en-GB"/>
              </w:rPr>
            </w:pPr>
          </w:p>
          <w:p w:rsidR="007521DB" w:rsidRDefault="007521DB" w:rsidP="006F5E1E">
            <w:pPr>
              <w:jc w:val="both"/>
              <w:rPr>
                <w:noProof/>
                <w:lang w:val="en-GB" w:eastAsia="en-GB"/>
              </w:rPr>
            </w:pPr>
          </w:p>
          <w:p w:rsidR="007521DB" w:rsidRDefault="007521DB" w:rsidP="006F5E1E">
            <w:pPr>
              <w:jc w:val="both"/>
              <w:rPr>
                <w:noProof/>
                <w:lang w:val="en-GB" w:eastAsia="en-GB"/>
              </w:rPr>
            </w:pPr>
            <w:r>
              <w:rPr>
                <w:noProof/>
                <w:lang w:val="en-GB" w:eastAsia="en-GB"/>
              </w:rPr>
              <w:drawing>
                <wp:inline distT="0" distB="0" distL="0" distR="0" wp14:anchorId="14F5762A">
                  <wp:extent cx="2176145"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6145" cy="1158240"/>
                          </a:xfrm>
                          <a:prstGeom prst="rect">
                            <a:avLst/>
                          </a:prstGeom>
                          <a:noFill/>
                        </pic:spPr>
                      </pic:pic>
                    </a:graphicData>
                  </a:graphic>
                </wp:inline>
              </w:drawing>
            </w:r>
            <w:r w:rsidR="00315FDE">
              <w:rPr>
                <w:noProof/>
                <w:lang w:val="en-GB" w:eastAsia="en-GB"/>
              </w:rPr>
              <w:t xml:space="preserve">                      </w:t>
            </w:r>
            <w:r w:rsidR="00315FDE" w:rsidRPr="00315FDE">
              <w:rPr>
                <w:noProof/>
                <w:lang w:val="en-GB" w:eastAsia="en-GB"/>
              </w:rPr>
              <w:drawing>
                <wp:inline distT="0" distB="0" distL="0" distR="0">
                  <wp:extent cx="1695450" cy="904875"/>
                  <wp:effectExtent l="0" t="0" r="0" b="9525"/>
                  <wp:docPr id="3" name="Picture 3" descr="C:\Users\kelek\Downloads\Dest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ek\Downloads\Destin.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904875"/>
                          </a:xfrm>
                          <a:prstGeom prst="rect">
                            <a:avLst/>
                          </a:prstGeom>
                          <a:noFill/>
                          <a:ln>
                            <a:noFill/>
                          </a:ln>
                        </pic:spPr>
                      </pic:pic>
                    </a:graphicData>
                  </a:graphic>
                </wp:inline>
              </w:drawing>
            </w:r>
          </w:p>
          <w:p w:rsidR="00DA7EF5" w:rsidRDefault="00DA7EF5" w:rsidP="00401385">
            <w:pPr>
              <w:jc w:val="both"/>
            </w:pPr>
            <w:r>
              <w:rPr>
                <w:noProof/>
                <w:lang w:val="en-GB" w:eastAsia="en-GB"/>
              </w:rPr>
              <w:t xml:space="preserve">                                  </w:t>
            </w:r>
          </w:p>
        </w:tc>
      </w:tr>
    </w:tbl>
    <w:p w:rsidR="00AC420F" w:rsidRDefault="00AC420F" w:rsidP="00DD66F7">
      <w:pPr>
        <w:jc w:val="both"/>
      </w:pPr>
    </w:p>
    <w:p w:rsidR="005E0EB7" w:rsidRDefault="005E0EB7" w:rsidP="00DD66F7">
      <w:pPr>
        <w:jc w:val="both"/>
      </w:pPr>
    </w:p>
    <w:p w:rsidR="005E0EB7" w:rsidRDefault="005E0EB7" w:rsidP="00DD66F7">
      <w:pPr>
        <w:jc w:val="both"/>
      </w:pPr>
      <w:r>
        <w:rPr>
          <w:noProof/>
          <w:lang w:val="en-GB" w:eastAsia="en-GB"/>
        </w:rPr>
        <w:t xml:space="preserve">                                              </w:t>
      </w:r>
    </w:p>
    <w:p w:rsidR="005E0EB7" w:rsidRDefault="005E0EB7" w:rsidP="00DD66F7">
      <w:pPr>
        <w:jc w:val="both"/>
      </w:pPr>
    </w:p>
    <w:p w:rsidR="005E0EB7" w:rsidRDefault="005E0EB7" w:rsidP="00DD66F7">
      <w:pPr>
        <w:jc w:val="both"/>
      </w:pPr>
    </w:p>
    <w:p w:rsidR="005E0EB7" w:rsidRDefault="005E0EB7" w:rsidP="00DD66F7">
      <w:pPr>
        <w:jc w:val="both"/>
        <w:rPr>
          <w:noProof/>
          <w:lang w:val="en-GB" w:eastAsia="en-GB"/>
        </w:rPr>
      </w:pPr>
      <w:r>
        <w:rPr>
          <w:noProof/>
          <w:lang w:val="en-GB" w:eastAsia="en-GB"/>
        </w:rPr>
        <w:t xml:space="preserve">      </w:t>
      </w:r>
    </w:p>
    <w:p w:rsidR="005E0EB7" w:rsidRDefault="005E0EB7" w:rsidP="00DD66F7">
      <w:pPr>
        <w:jc w:val="both"/>
        <w:rPr>
          <w:noProof/>
          <w:lang w:val="en-GB" w:eastAsia="en-GB"/>
        </w:rPr>
      </w:pPr>
    </w:p>
    <w:p w:rsidR="005E0EB7" w:rsidRDefault="005E0EB7" w:rsidP="00DD66F7">
      <w:pPr>
        <w:jc w:val="both"/>
        <w:rPr>
          <w:noProof/>
          <w:lang w:val="en-GB" w:eastAsia="en-GB"/>
        </w:rPr>
      </w:pPr>
    </w:p>
    <w:p w:rsidR="005E0EB7" w:rsidRDefault="005E0EB7" w:rsidP="00DD66F7">
      <w:pPr>
        <w:jc w:val="both"/>
        <w:rPr>
          <w:noProof/>
          <w:lang w:val="en-GB" w:eastAsia="en-GB"/>
        </w:rPr>
      </w:pPr>
    </w:p>
    <w:p w:rsidR="005E0EB7" w:rsidRDefault="005E0EB7" w:rsidP="00DD66F7">
      <w:pPr>
        <w:jc w:val="both"/>
        <w:rPr>
          <w:noProof/>
          <w:lang w:val="en-GB" w:eastAsia="en-GB"/>
        </w:rPr>
      </w:pPr>
      <w:r>
        <w:rPr>
          <w:noProof/>
          <w:lang w:val="en-GB" w:eastAsia="en-GB"/>
        </w:rPr>
        <w:t xml:space="preserve">    </w:t>
      </w:r>
    </w:p>
    <w:p w:rsidR="005E0EB7" w:rsidRDefault="005E0EB7" w:rsidP="00DD66F7">
      <w:pPr>
        <w:jc w:val="both"/>
        <w:rPr>
          <w:noProof/>
          <w:lang w:val="en-GB" w:eastAsia="en-GB"/>
        </w:rPr>
      </w:pPr>
    </w:p>
    <w:p w:rsidR="005E0EB7" w:rsidRDefault="005E0EB7" w:rsidP="00DD66F7">
      <w:pPr>
        <w:jc w:val="both"/>
        <w:rPr>
          <w:noProof/>
          <w:lang w:val="en-GB" w:eastAsia="en-GB"/>
        </w:rPr>
      </w:pPr>
    </w:p>
    <w:p w:rsidR="00DA7EF5" w:rsidRDefault="00DA7EF5" w:rsidP="00DD66F7">
      <w:pPr>
        <w:jc w:val="both"/>
        <w:rPr>
          <w:noProof/>
          <w:lang w:val="en-GB" w:eastAsia="en-GB"/>
        </w:rPr>
      </w:pPr>
    </w:p>
    <w:p w:rsidR="005E0EB7" w:rsidRDefault="005E0EB7" w:rsidP="005E0EB7">
      <w:pPr>
        <w:ind w:left="2880" w:firstLine="720"/>
        <w:jc w:val="both"/>
        <w:rPr>
          <w:noProof/>
          <w:lang w:val="en-GB" w:eastAsia="en-GB"/>
        </w:rPr>
      </w:pPr>
      <w:r>
        <w:rPr>
          <w:noProof/>
          <w:lang w:val="en-GB" w:eastAsia="en-GB"/>
        </w:rPr>
        <w:t xml:space="preserve">           </w:t>
      </w:r>
      <w:r w:rsidR="00DA7EF5" w:rsidRPr="00DA7EF5">
        <w:rPr>
          <w:noProof/>
          <w:lang w:val="en-GB" w:eastAsia="en-GB"/>
        </w:rPr>
        <w:t xml:space="preserve"> </w:t>
      </w:r>
    </w:p>
    <w:p w:rsidR="00EE613A" w:rsidRDefault="00EE613A" w:rsidP="005E0EB7">
      <w:pPr>
        <w:ind w:left="2880" w:firstLine="720"/>
        <w:jc w:val="both"/>
        <w:rPr>
          <w:noProof/>
          <w:lang w:val="en-GB" w:eastAsia="en-GB"/>
        </w:rPr>
      </w:pPr>
    </w:p>
    <w:p w:rsidR="00EE613A" w:rsidRDefault="00EE613A" w:rsidP="005E0EB7">
      <w:pPr>
        <w:ind w:left="2880" w:firstLine="720"/>
        <w:jc w:val="both"/>
        <w:rPr>
          <w:noProof/>
          <w:lang w:val="en-GB" w:eastAsia="en-GB"/>
        </w:rPr>
      </w:pPr>
    </w:p>
    <w:p w:rsidR="00EE613A" w:rsidRDefault="00EE613A" w:rsidP="005E0EB7">
      <w:pPr>
        <w:ind w:left="2880" w:firstLine="720"/>
        <w:jc w:val="both"/>
        <w:rPr>
          <w:noProof/>
          <w:lang w:val="en-GB" w:eastAsia="en-GB"/>
        </w:rPr>
      </w:pPr>
    </w:p>
    <w:p w:rsidR="00EE613A" w:rsidRDefault="00EE613A" w:rsidP="005E0EB7">
      <w:pPr>
        <w:ind w:left="2880" w:firstLine="720"/>
        <w:jc w:val="both"/>
        <w:rPr>
          <w:noProof/>
          <w:lang w:val="en-GB" w:eastAsia="en-GB"/>
        </w:rPr>
      </w:pPr>
    </w:p>
    <w:p w:rsidR="00DA7EF5" w:rsidRDefault="00DA7EF5" w:rsidP="006F5E1E">
      <w:pPr>
        <w:jc w:val="both"/>
        <w:rPr>
          <w:rFonts w:ascii="Calibri" w:hAnsi="Calibri" w:cs="Calibri"/>
          <w:color w:val="333399"/>
          <w:kern w:val="0"/>
          <w:sz w:val="32"/>
          <w:szCs w:val="32"/>
          <w:lang w:val="en-GB" w:eastAsia="en-GB"/>
        </w:rPr>
      </w:pPr>
    </w:p>
    <w:p w:rsidR="00DA7EF5" w:rsidRDefault="00DA7EF5" w:rsidP="006F5E1E">
      <w:pPr>
        <w:jc w:val="both"/>
        <w:rPr>
          <w:rFonts w:ascii="Calibri" w:hAnsi="Calibri" w:cs="Calibri"/>
          <w:color w:val="333399"/>
          <w:kern w:val="0"/>
          <w:sz w:val="32"/>
          <w:szCs w:val="32"/>
          <w:lang w:val="en-GB" w:eastAsia="en-GB"/>
        </w:rPr>
      </w:pPr>
    </w:p>
    <w:p w:rsidR="00DA7EF5" w:rsidRDefault="00DA7EF5" w:rsidP="006F5E1E">
      <w:pPr>
        <w:jc w:val="both"/>
        <w:rPr>
          <w:rFonts w:ascii="Calibri" w:hAnsi="Calibri" w:cs="Calibri"/>
          <w:color w:val="333399"/>
          <w:kern w:val="0"/>
          <w:sz w:val="32"/>
          <w:szCs w:val="32"/>
          <w:lang w:val="en-GB" w:eastAsia="en-GB"/>
        </w:rPr>
      </w:pPr>
    </w:p>
    <w:p w:rsidR="00DA7EF5" w:rsidRDefault="00DA7EF5" w:rsidP="006F5E1E">
      <w:pPr>
        <w:jc w:val="both"/>
        <w:rPr>
          <w:rFonts w:ascii="Calibri" w:hAnsi="Calibri" w:cs="Calibri"/>
          <w:color w:val="333399"/>
          <w:kern w:val="0"/>
          <w:sz w:val="32"/>
          <w:szCs w:val="32"/>
          <w:lang w:val="en-GB" w:eastAsia="en-GB"/>
        </w:rPr>
      </w:pPr>
    </w:p>
    <w:p w:rsidR="00DA7EF5" w:rsidRDefault="00DA7EF5" w:rsidP="006F5E1E">
      <w:pPr>
        <w:jc w:val="both"/>
        <w:rPr>
          <w:rFonts w:ascii="Calibri" w:hAnsi="Calibri" w:cs="Calibri"/>
          <w:color w:val="333399"/>
          <w:kern w:val="0"/>
          <w:sz w:val="32"/>
          <w:szCs w:val="32"/>
          <w:lang w:val="en-GB" w:eastAsia="en-GB"/>
        </w:rPr>
      </w:pPr>
    </w:p>
    <w:p w:rsidR="00EE613A" w:rsidRPr="00EE613A" w:rsidRDefault="00EE613A" w:rsidP="006F5E1E">
      <w:pPr>
        <w:jc w:val="both"/>
        <w:rPr>
          <w:rFonts w:ascii="Calibri" w:hAnsi="Calibri" w:cs="Calibri"/>
          <w:color w:val="333399"/>
          <w:kern w:val="0"/>
          <w:sz w:val="32"/>
          <w:szCs w:val="32"/>
          <w:lang w:val="en-GB" w:eastAsia="en-GB"/>
        </w:rPr>
      </w:pPr>
      <w:r w:rsidRPr="00EE613A">
        <w:rPr>
          <w:rFonts w:ascii="Calibri" w:hAnsi="Calibri" w:cs="Calibri"/>
          <w:color w:val="333399"/>
          <w:kern w:val="0"/>
          <w:sz w:val="32"/>
          <w:szCs w:val="32"/>
          <w:lang w:val="en-GB" w:eastAsia="en-GB"/>
        </w:rPr>
        <w:t>IRRV Yorkshire &amp; District Association</w:t>
      </w:r>
    </w:p>
    <w:p w:rsidR="00EE613A" w:rsidRPr="00EE613A" w:rsidRDefault="00EE613A" w:rsidP="00EE613A">
      <w:pPr>
        <w:jc w:val="left"/>
        <w:rPr>
          <w:rFonts w:ascii="Calibri" w:hAnsi="Calibri" w:cs="Calibri"/>
          <w:b/>
          <w:color w:val="auto"/>
          <w:kern w:val="0"/>
          <w:sz w:val="22"/>
          <w:szCs w:val="20"/>
          <w:lang w:val="en-GB" w:eastAsia="en-GB"/>
        </w:rPr>
      </w:pPr>
    </w:p>
    <w:p w:rsidR="00EE613A" w:rsidRPr="00EE613A" w:rsidRDefault="008325BA" w:rsidP="00EE613A">
      <w:pPr>
        <w:rPr>
          <w:rFonts w:ascii="Calibri" w:hAnsi="Calibri" w:cs="Calibri"/>
          <w:color w:val="auto"/>
          <w:kern w:val="0"/>
          <w:sz w:val="28"/>
          <w:szCs w:val="20"/>
          <w:lang w:val="en-GB" w:eastAsia="en-GB"/>
        </w:rPr>
      </w:pPr>
      <w:r>
        <w:rPr>
          <w:rFonts w:ascii="Calibri" w:hAnsi="Calibri" w:cs="Calibri"/>
          <w:color w:val="auto"/>
          <w:kern w:val="0"/>
          <w:sz w:val="28"/>
          <w:szCs w:val="20"/>
          <w:lang w:val="en-GB" w:eastAsia="en-GB"/>
        </w:rPr>
        <w:t>Vulnerability Seminar 27</w:t>
      </w:r>
      <w:r w:rsidRPr="008325BA">
        <w:rPr>
          <w:rFonts w:ascii="Calibri" w:hAnsi="Calibri" w:cs="Calibri"/>
          <w:color w:val="auto"/>
          <w:kern w:val="0"/>
          <w:sz w:val="28"/>
          <w:szCs w:val="20"/>
          <w:vertAlign w:val="superscript"/>
          <w:lang w:val="en-GB" w:eastAsia="en-GB"/>
        </w:rPr>
        <w:t>th</w:t>
      </w:r>
      <w:r>
        <w:rPr>
          <w:rFonts w:ascii="Calibri" w:hAnsi="Calibri" w:cs="Calibri"/>
          <w:color w:val="auto"/>
          <w:kern w:val="0"/>
          <w:sz w:val="28"/>
          <w:szCs w:val="20"/>
          <w:lang w:val="en-GB" w:eastAsia="en-GB"/>
        </w:rPr>
        <w:t xml:space="preserve"> November</w:t>
      </w:r>
      <w:r w:rsidR="00461EEF">
        <w:rPr>
          <w:rFonts w:ascii="Calibri" w:hAnsi="Calibri" w:cs="Calibri"/>
          <w:color w:val="auto"/>
          <w:kern w:val="0"/>
          <w:sz w:val="28"/>
          <w:szCs w:val="20"/>
          <w:lang w:val="en-GB" w:eastAsia="en-GB"/>
        </w:rPr>
        <w:t xml:space="preserve"> 2019</w:t>
      </w:r>
    </w:p>
    <w:p w:rsidR="00EE613A" w:rsidRPr="00EE613A" w:rsidRDefault="00EE613A" w:rsidP="00EE613A">
      <w:pPr>
        <w:rPr>
          <w:rFonts w:ascii="Calibri" w:hAnsi="Calibri" w:cs="Calibri"/>
          <w:b/>
          <w:color w:val="auto"/>
          <w:kern w:val="0"/>
          <w:sz w:val="28"/>
          <w:szCs w:val="20"/>
          <w:lang w:val="en-GB" w:eastAsia="en-GB"/>
        </w:rPr>
      </w:pPr>
    </w:p>
    <w:p w:rsidR="00EE613A" w:rsidRPr="00EE613A" w:rsidRDefault="00EE613A" w:rsidP="00EE613A">
      <w:pPr>
        <w:jc w:val="left"/>
        <w:rPr>
          <w:rFonts w:ascii="Calibri" w:hAnsi="Calibri" w:cs="Calibri"/>
          <w:color w:val="auto"/>
          <w:kern w:val="0"/>
          <w:sz w:val="22"/>
          <w:szCs w:val="20"/>
          <w:lang w:val="en-GB" w:eastAsia="en-GB"/>
        </w:rPr>
      </w:pPr>
      <w:r w:rsidRPr="00EE613A">
        <w:rPr>
          <w:rFonts w:ascii="Calibri" w:hAnsi="Calibri" w:cs="Calibri"/>
          <w:color w:val="auto"/>
          <w:kern w:val="0"/>
          <w:sz w:val="22"/>
          <w:szCs w:val="20"/>
          <w:lang w:val="en-GB" w:eastAsia="en-GB"/>
        </w:rPr>
        <w:t xml:space="preserve">Please reserve me _______ tickets </w:t>
      </w:r>
      <w:r w:rsidR="0022266D">
        <w:rPr>
          <w:rFonts w:ascii="Calibri" w:hAnsi="Calibri" w:cs="Calibri"/>
          <w:color w:val="auto"/>
          <w:kern w:val="0"/>
          <w:sz w:val="22"/>
          <w:szCs w:val="20"/>
          <w:lang w:val="en-GB" w:eastAsia="en-GB"/>
        </w:rPr>
        <w:t xml:space="preserve">for </w:t>
      </w:r>
      <w:r w:rsidRPr="00EE613A">
        <w:rPr>
          <w:rFonts w:ascii="Calibri" w:hAnsi="Calibri" w:cs="Calibri"/>
          <w:color w:val="auto"/>
          <w:kern w:val="0"/>
          <w:sz w:val="22"/>
          <w:szCs w:val="20"/>
          <w:lang w:val="en-GB" w:eastAsia="en-GB"/>
        </w:rPr>
        <w:t xml:space="preserve">IRRV Members </w:t>
      </w:r>
      <w:r w:rsidR="003D50B5">
        <w:rPr>
          <w:rFonts w:ascii="Calibri" w:hAnsi="Calibri" w:cs="Calibri"/>
          <w:color w:val="auto"/>
          <w:kern w:val="0"/>
          <w:sz w:val="22"/>
          <w:szCs w:val="20"/>
          <w:lang w:val="en-GB" w:eastAsia="en-GB"/>
        </w:rPr>
        <w:t>£</w:t>
      </w:r>
      <w:r w:rsidR="008325BA">
        <w:rPr>
          <w:rFonts w:ascii="Calibri" w:hAnsi="Calibri" w:cs="Calibri"/>
          <w:color w:val="auto"/>
          <w:kern w:val="0"/>
          <w:sz w:val="22"/>
          <w:szCs w:val="20"/>
          <w:lang w:val="en-GB" w:eastAsia="en-GB"/>
        </w:rPr>
        <w:t>100</w:t>
      </w:r>
      <w:r w:rsidR="00C04E61">
        <w:rPr>
          <w:rFonts w:ascii="Calibri" w:hAnsi="Calibri" w:cs="Calibri"/>
          <w:color w:val="auto"/>
          <w:kern w:val="0"/>
          <w:sz w:val="22"/>
          <w:szCs w:val="20"/>
          <w:lang w:val="en-GB" w:eastAsia="en-GB"/>
        </w:rPr>
        <w:t>.00</w:t>
      </w:r>
      <w:r w:rsidR="008325BA">
        <w:rPr>
          <w:rFonts w:ascii="Calibri" w:hAnsi="Calibri" w:cs="Calibri"/>
          <w:color w:val="auto"/>
          <w:kern w:val="0"/>
          <w:sz w:val="22"/>
          <w:szCs w:val="20"/>
          <w:lang w:val="en-GB" w:eastAsia="en-GB"/>
        </w:rPr>
        <w:t>, Students £20</w:t>
      </w:r>
      <w:r w:rsidR="003D50B5">
        <w:rPr>
          <w:rFonts w:ascii="Calibri" w:hAnsi="Calibri" w:cs="Calibri"/>
          <w:color w:val="auto"/>
          <w:kern w:val="0"/>
          <w:sz w:val="22"/>
          <w:szCs w:val="20"/>
          <w:lang w:val="en-GB" w:eastAsia="en-GB"/>
        </w:rPr>
        <w:t xml:space="preserve">.00 and for non-members and </w:t>
      </w:r>
      <w:r w:rsidRPr="00EE613A">
        <w:rPr>
          <w:rFonts w:ascii="Calibri" w:hAnsi="Calibri" w:cs="Calibri"/>
          <w:color w:val="auto"/>
          <w:kern w:val="0"/>
          <w:sz w:val="22"/>
          <w:szCs w:val="20"/>
          <w:lang w:val="en-GB" w:eastAsia="en-GB"/>
        </w:rPr>
        <w:t xml:space="preserve">Commercial Companies </w:t>
      </w:r>
      <w:r w:rsidR="00C04E61">
        <w:rPr>
          <w:rFonts w:ascii="Calibri" w:hAnsi="Calibri" w:cs="Calibri"/>
          <w:color w:val="auto"/>
          <w:kern w:val="0"/>
          <w:sz w:val="22"/>
          <w:szCs w:val="20"/>
          <w:lang w:val="en-GB" w:eastAsia="en-GB"/>
        </w:rPr>
        <w:t>£</w:t>
      </w:r>
      <w:r w:rsidR="008325BA">
        <w:rPr>
          <w:rFonts w:ascii="Calibri" w:hAnsi="Calibri" w:cs="Calibri"/>
          <w:color w:val="auto"/>
          <w:kern w:val="0"/>
          <w:sz w:val="22"/>
          <w:szCs w:val="20"/>
          <w:lang w:val="en-GB" w:eastAsia="en-GB"/>
        </w:rPr>
        <w:t>1</w:t>
      </w:r>
      <w:r w:rsidR="00C04E61">
        <w:rPr>
          <w:rFonts w:ascii="Calibri" w:hAnsi="Calibri" w:cs="Calibri"/>
          <w:color w:val="auto"/>
          <w:kern w:val="0"/>
          <w:sz w:val="22"/>
          <w:szCs w:val="20"/>
          <w:lang w:val="en-GB" w:eastAsia="en-GB"/>
        </w:rPr>
        <w:t>3</w:t>
      </w:r>
      <w:r w:rsidR="003D50B5">
        <w:rPr>
          <w:rFonts w:ascii="Calibri" w:hAnsi="Calibri" w:cs="Calibri"/>
          <w:color w:val="auto"/>
          <w:kern w:val="0"/>
          <w:sz w:val="22"/>
          <w:szCs w:val="20"/>
          <w:lang w:val="en-GB" w:eastAsia="en-GB"/>
        </w:rPr>
        <w:t>5.00</w:t>
      </w:r>
      <w:r w:rsidR="008325BA">
        <w:rPr>
          <w:rFonts w:ascii="Calibri" w:hAnsi="Calibri" w:cs="Calibri"/>
          <w:color w:val="auto"/>
          <w:kern w:val="0"/>
          <w:sz w:val="22"/>
          <w:szCs w:val="20"/>
          <w:lang w:val="en-GB" w:eastAsia="en-GB"/>
        </w:rPr>
        <w:t xml:space="preserve"> </w:t>
      </w:r>
      <w:r w:rsidRPr="00EE613A">
        <w:rPr>
          <w:rFonts w:ascii="Calibri" w:hAnsi="Calibri" w:cs="Calibri"/>
          <w:color w:val="auto"/>
          <w:kern w:val="0"/>
          <w:sz w:val="22"/>
          <w:szCs w:val="20"/>
          <w:lang w:val="en-GB" w:eastAsia="en-GB"/>
        </w:rPr>
        <w:t>(per person):</w:t>
      </w:r>
      <w:r w:rsidR="003D50B5">
        <w:rPr>
          <w:rFonts w:ascii="Calibri" w:hAnsi="Calibri" w:cs="Calibri"/>
          <w:color w:val="auto"/>
          <w:kern w:val="0"/>
          <w:sz w:val="22"/>
          <w:szCs w:val="20"/>
          <w:lang w:val="en-GB" w:eastAsia="en-GB"/>
        </w:rPr>
        <w:t xml:space="preserve"> </w:t>
      </w:r>
      <w:r w:rsidR="003D50B5" w:rsidRPr="008325BA">
        <w:rPr>
          <w:rFonts w:ascii="Calibri" w:hAnsi="Calibri" w:cs="Calibri"/>
          <w:b/>
          <w:color w:val="FF0000"/>
          <w:kern w:val="0"/>
          <w:sz w:val="22"/>
          <w:szCs w:val="20"/>
          <w:u w:val="single"/>
          <w:lang w:val="en-GB" w:eastAsia="en-GB"/>
        </w:rPr>
        <w:t xml:space="preserve">Discounts </w:t>
      </w:r>
      <w:r w:rsidR="00C04E61">
        <w:rPr>
          <w:rFonts w:ascii="Calibri" w:hAnsi="Calibri" w:cs="Calibri"/>
          <w:color w:val="auto"/>
          <w:kern w:val="0"/>
          <w:sz w:val="22"/>
          <w:szCs w:val="20"/>
          <w:lang w:val="en-GB" w:eastAsia="en-GB"/>
        </w:rPr>
        <w:t>BUY 3 and get the 4</w:t>
      </w:r>
      <w:r w:rsidR="00C04E61" w:rsidRPr="00C04E61">
        <w:rPr>
          <w:rFonts w:ascii="Calibri" w:hAnsi="Calibri" w:cs="Calibri"/>
          <w:color w:val="auto"/>
          <w:kern w:val="0"/>
          <w:sz w:val="22"/>
          <w:szCs w:val="20"/>
          <w:vertAlign w:val="superscript"/>
          <w:lang w:val="en-GB" w:eastAsia="en-GB"/>
        </w:rPr>
        <w:t>th</w:t>
      </w:r>
      <w:r w:rsidR="008325BA">
        <w:rPr>
          <w:rFonts w:ascii="Calibri" w:hAnsi="Calibri" w:cs="Calibri"/>
          <w:color w:val="auto"/>
          <w:kern w:val="0"/>
          <w:sz w:val="22"/>
          <w:szCs w:val="20"/>
          <w:lang w:val="en-GB" w:eastAsia="en-GB"/>
        </w:rPr>
        <w:t xml:space="preserve"> FREE for members and commercial/non-members - </w:t>
      </w:r>
      <w:r w:rsidR="00C04E61">
        <w:rPr>
          <w:rFonts w:ascii="Calibri" w:hAnsi="Calibri" w:cs="Calibri"/>
          <w:color w:val="auto"/>
          <w:kern w:val="0"/>
          <w:sz w:val="22"/>
          <w:szCs w:val="20"/>
          <w:lang w:val="en-GB" w:eastAsia="en-GB"/>
        </w:rPr>
        <w:t xml:space="preserve"> </w:t>
      </w:r>
    </w:p>
    <w:p w:rsidR="00EE613A" w:rsidRPr="00EE613A" w:rsidRDefault="00EE613A" w:rsidP="00EE613A">
      <w:pPr>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 xml:space="preserve">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gridCol w:w="1344"/>
        <w:gridCol w:w="1770"/>
      </w:tblGrid>
      <w:tr w:rsidR="00EE613A" w:rsidRPr="00EE613A" w:rsidTr="00B02DCE">
        <w:tc>
          <w:tcPr>
            <w:tcW w:w="3737" w:type="pct"/>
            <w:shd w:val="clear" w:color="auto" w:fill="auto"/>
          </w:tcPr>
          <w:p w:rsidR="00EE613A" w:rsidRPr="00EE613A" w:rsidRDefault="00EE613A" w:rsidP="00EE613A">
            <w:pPr>
              <w:rPr>
                <w:rFonts w:ascii="Calibri" w:hAnsi="Calibri" w:cs="Calibri"/>
                <w:b/>
                <w:color w:val="FFFFFF"/>
                <w:kern w:val="0"/>
                <w:szCs w:val="24"/>
                <w:lang w:val="en-GB" w:eastAsia="en-GB"/>
              </w:rPr>
            </w:pPr>
          </w:p>
        </w:tc>
        <w:tc>
          <w:tcPr>
            <w:tcW w:w="580" w:type="pct"/>
            <w:vMerge w:val="restart"/>
            <w:shd w:val="clear" w:color="auto" w:fill="auto"/>
          </w:tcPr>
          <w:p w:rsidR="00EE613A" w:rsidRPr="00EE613A" w:rsidRDefault="00EE613A" w:rsidP="00EE613A">
            <w:pPr>
              <w:rPr>
                <w:rFonts w:ascii="Calibri" w:hAnsi="Calibri" w:cs="Calibri"/>
                <w:b/>
                <w:color w:val="auto"/>
                <w:kern w:val="0"/>
                <w:sz w:val="20"/>
                <w:szCs w:val="20"/>
                <w:lang w:val="en-GB" w:eastAsia="en-GB"/>
              </w:rPr>
            </w:pPr>
            <w:r w:rsidRPr="00EE613A">
              <w:rPr>
                <w:rFonts w:ascii="Calibri" w:hAnsi="Calibri" w:cs="Calibri"/>
                <w:b/>
                <w:color w:val="auto"/>
                <w:kern w:val="0"/>
                <w:sz w:val="20"/>
                <w:szCs w:val="20"/>
                <w:lang w:val="en-GB" w:eastAsia="en-GB"/>
              </w:rPr>
              <w:t xml:space="preserve">Dietary requirements </w:t>
            </w:r>
          </w:p>
          <w:p w:rsidR="00EE613A" w:rsidRPr="00EE613A" w:rsidRDefault="00EE613A" w:rsidP="00EE613A">
            <w:pPr>
              <w:rPr>
                <w:rFonts w:ascii="Calibri" w:hAnsi="Calibri" w:cs="Calibri"/>
                <w:b/>
                <w:color w:val="FFFFFF"/>
                <w:kern w:val="0"/>
                <w:sz w:val="20"/>
                <w:szCs w:val="20"/>
                <w:lang w:val="en-GB" w:eastAsia="en-GB"/>
              </w:rPr>
            </w:pPr>
            <w:r w:rsidRPr="00EE613A">
              <w:rPr>
                <w:rFonts w:ascii="Calibri" w:hAnsi="Calibri" w:cs="Calibri"/>
                <w:b/>
                <w:color w:val="auto"/>
                <w:kern w:val="0"/>
                <w:sz w:val="20"/>
                <w:szCs w:val="20"/>
                <w:lang w:val="en-GB" w:eastAsia="en-GB"/>
              </w:rPr>
              <w:t>(please specify)</w:t>
            </w:r>
          </w:p>
        </w:tc>
        <w:tc>
          <w:tcPr>
            <w:tcW w:w="683" w:type="pct"/>
            <w:shd w:val="clear" w:color="auto" w:fill="auto"/>
          </w:tcPr>
          <w:p w:rsidR="00EE613A" w:rsidRPr="00EE613A" w:rsidRDefault="00EE613A" w:rsidP="00EE613A">
            <w:pPr>
              <w:rPr>
                <w:rFonts w:ascii="Calibri" w:hAnsi="Calibri" w:cs="Calibri"/>
                <w:b/>
                <w:color w:val="auto"/>
                <w:kern w:val="0"/>
                <w:sz w:val="20"/>
                <w:szCs w:val="20"/>
                <w:lang w:val="en-GB" w:eastAsia="en-GB"/>
              </w:rPr>
            </w:pPr>
            <w:r w:rsidRPr="00EE613A">
              <w:rPr>
                <w:rFonts w:ascii="Calibri" w:hAnsi="Calibri" w:cs="Calibri"/>
                <w:b/>
                <w:color w:val="auto"/>
                <w:kern w:val="0"/>
                <w:sz w:val="20"/>
                <w:szCs w:val="20"/>
                <w:lang w:val="en-GB" w:eastAsia="en-GB"/>
              </w:rPr>
              <w:t>Indicate if</w:t>
            </w:r>
          </w:p>
        </w:tc>
      </w:tr>
      <w:tr w:rsidR="00EE613A" w:rsidRPr="00EE613A" w:rsidTr="00B02DCE">
        <w:tc>
          <w:tcPr>
            <w:tcW w:w="3737" w:type="pct"/>
            <w:shd w:val="clear" w:color="auto" w:fill="auto"/>
          </w:tcPr>
          <w:p w:rsidR="00EE613A" w:rsidRPr="00EE613A" w:rsidRDefault="00EE613A" w:rsidP="00EE613A">
            <w:pPr>
              <w:rPr>
                <w:rFonts w:ascii="Calibri" w:hAnsi="Calibri" w:cs="Calibri"/>
                <w:b/>
                <w:color w:val="FFFFFF"/>
                <w:kern w:val="0"/>
                <w:sz w:val="20"/>
                <w:szCs w:val="20"/>
                <w:lang w:val="en-GB" w:eastAsia="en-GB"/>
              </w:rPr>
            </w:pPr>
            <w:r w:rsidRPr="00EE613A">
              <w:rPr>
                <w:rFonts w:ascii="Calibri" w:hAnsi="Calibri" w:cs="Calibri"/>
                <w:b/>
                <w:color w:val="auto"/>
                <w:kern w:val="0"/>
                <w:sz w:val="20"/>
                <w:szCs w:val="20"/>
                <w:lang w:val="en-GB" w:eastAsia="en-GB"/>
              </w:rPr>
              <w:t>Please provide first name, surname, email address &amp; Authority or Organisation</w:t>
            </w:r>
          </w:p>
        </w:tc>
        <w:tc>
          <w:tcPr>
            <w:tcW w:w="580" w:type="pct"/>
            <w:vMerge/>
            <w:shd w:val="clear" w:color="auto" w:fill="auto"/>
          </w:tcPr>
          <w:p w:rsidR="00EE613A" w:rsidRPr="00EE613A" w:rsidRDefault="00EE613A" w:rsidP="00EE613A">
            <w:pPr>
              <w:rPr>
                <w:rFonts w:ascii="Calibri" w:hAnsi="Calibri" w:cs="Calibri"/>
                <w:b/>
                <w:color w:val="FFFFFF"/>
                <w:kern w:val="0"/>
                <w:sz w:val="20"/>
                <w:szCs w:val="20"/>
                <w:lang w:val="en-GB" w:eastAsia="en-GB"/>
              </w:rPr>
            </w:pPr>
          </w:p>
        </w:tc>
        <w:tc>
          <w:tcPr>
            <w:tcW w:w="683" w:type="pct"/>
            <w:shd w:val="clear" w:color="auto" w:fill="auto"/>
          </w:tcPr>
          <w:p w:rsidR="00EE613A" w:rsidRPr="00EE613A" w:rsidRDefault="00EE613A" w:rsidP="00EE613A">
            <w:pPr>
              <w:rPr>
                <w:rFonts w:ascii="Calibri" w:hAnsi="Calibri" w:cs="Calibri"/>
                <w:b/>
                <w:color w:val="auto"/>
                <w:kern w:val="0"/>
                <w:sz w:val="20"/>
                <w:szCs w:val="20"/>
                <w:lang w:val="en-GB" w:eastAsia="en-GB"/>
              </w:rPr>
            </w:pPr>
            <w:r w:rsidRPr="00EE613A">
              <w:rPr>
                <w:rFonts w:ascii="Calibri" w:hAnsi="Calibri" w:cs="Calibri"/>
                <w:b/>
                <w:color w:val="auto"/>
                <w:kern w:val="0"/>
                <w:sz w:val="20"/>
                <w:szCs w:val="20"/>
                <w:lang w:val="en-GB" w:eastAsia="en-GB"/>
              </w:rPr>
              <w:t>Non-member</w:t>
            </w:r>
            <w:r w:rsidR="00B02DCE">
              <w:rPr>
                <w:rFonts w:ascii="Calibri" w:hAnsi="Calibri" w:cs="Calibri"/>
                <w:b/>
                <w:color w:val="auto"/>
                <w:kern w:val="0"/>
                <w:sz w:val="20"/>
                <w:szCs w:val="20"/>
                <w:lang w:val="en-GB" w:eastAsia="en-GB"/>
              </w:rPr>
              <w:t>/company</w:t>
            </w:r>
            <w:r w:rsidRPr="00EE613A">
              <w:rPr>
                <w:rFonts w:ascii="Calibri" w:hAnsi="Calibri" w:cs="Calibri"/>
                <w:b/>
                <w:color w:val="auto"/>
                <w:kern w:val="0"/>
                <w:sz w:val="20"/>
                <w:szCs w:val="20"/>
                <w:lang w:val="en-GB" w:eastAsia="en-GB"/>
              </w:rPr>
              <w:t xml:space="preserve"> Please</w:t>
            </w:r>
          </w:p>
        </w:tc>
      </w:tr>
      <w:tr w:rsidR="00EE613A" w:rsidRPr="00EE613A" w:rsidTr="00B02DCE">
        <w:trPr>
          <w:trHeight w:val="170"/>
        </w:trPr>
        <w:tc>
          <w:tcPr>
            <w:tcW w:w="3737" w:type="pct"/>
          </w:tcPr>
          <w:p w:rsidR="00EE613A" w:rsidRPr="00EE613A" w:rsidRDefault="00EE613A" w:rsidP="005A62C2">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 xml:space="preserve">Name: </w:t>
            </w:r>
          </w:p>
        </w:tc>
        <w:tc>
          <w:tcPr>
            <w:tcW w:w="580" w:type="pct"/>
            <w:vMerge w:val="restart"/>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val="restart"/>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5A62C2">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 xml:space="preserve">Email: </w:t>
            </w:r>
          </w:p>
        </w:tc>
        <w:tc>
          <w:tcPr>
            <w:tcW w:w="580"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5A62C2">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LA/Org:</w:t>
            </w:r>
            <w:r>
              <w:rPr>
                <w:rFonts w:ascii="Calibri" w:hAnsi="Calibri" w:cs="Calibri"/>
                <w:b/>
                <w:color w:val="auto"/>
                <w:kern w:val="0"/>
                <w:sz w:val="22"/>
                <w:szCs w:val="20"/>
                <w:lang w:val="en-GB" w:eastAsia="en-GB"/>
              </w:rPr>
              <w:t xml:space="preserve"> </w:t>
            </w:r>
          </w:p>
        </w:tc>
        <w:tc>
          <w:tcPr>
            <w:tcW w:w="580"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EE613A">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Name:</w:t>
            </w:r>
          </w:p>
        </w:tc>
        <w:tc>
          <w:tcPr>
            <w:tcW w:w="580" w:type="pct"/>
            <w:vMerge w:val="restart"/>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val="restart"/>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EE613A">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Email:</w:t>
            </w:r>
          </w:p>
        </w:tc>
        <w:tc>
          <w:tcPr>
            <w:tcW w:w="580"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EE613A">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LA/Org:</w:t>
            </w:r>
          </w:p>
        </w:tc>
        <w:tc>
          <w:tcPr>
            <w:tcW w:w="580"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EE613A">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Name:</w:t>
            </w:r>
          </w:p>
        </w:tc>
        <w:tc>
          <w:tcPr>
            <w:tcW w:w="580" w:type="pct"/>
            <w:vMerge w:val="restart"/>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val="restart"/>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EE613A">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Email:</w:t>
            </w:r>
          </w:p>
        </w:tc>
        <w:tc>
          <w:tcPr>
            <w:tcW w:w="580"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r w:rsidR="00EE613A" w:rsidRPr="00EE613A" w:rsidTr="00B02DCE">
        <w:trPr>
          <w:trHeight w:val="170"/>
        </w:trPr>
        <w:tc>
          <w:tcPr>
            <w:tcW w:w="3737" w:type="pct"/>
          </w:tcPr>
          <w:p w:rsidR="00EE613A" w:rsidRPr="00EE613A" w:rsidRDefault="00EE613A" w:rsidP="00EE613A">
            <w:pPr>
              <w:spacing w:before="120" w:after="120"/>
              <w:jc w:val="left"/>
              <w:rPr>
                <w:rFonts w:ascii="Calibri" w:hAnsi="Calibri" w:cs="Calibri"/>
                <w:b/>
                <w:color w:val="auto"/>
                <w:kern w:val="0"/>
                <w:sz w:val="22"/>
                <w:szCs w:val="20"/>
                <w:lang w:val="en-GB" w:eastAsia="en-GB"/>
              </w:rPr>
            </w:pPr>
            <w:r w:rsidRPr="00EE613A">
              <w:rPr>
                <w:rFonts w:ascii="Calibri" w:hAnsi="Calibri" w:cs="Calibri"/>
                <w:b/>
                <w:color w:val="auto"/>
                <w:kern w:val="0"/>
                <w:sz w:val="22"/>
                <w:szCs w:val="20"/>
                <w:lang w:val="en-GB" w:eastAsia="en-GB"/>
              </w:rPr>
              <w:t>LA/Org:</w:t>
            </w:r>
          </w:p>
        </w:tc>
        <w:tc>
          <w:tcPr>
            <w:tcW w:w="580"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c>
          <w:tcPr>
            <w:tcW w:w="683" w:type="pct"/>
            <w:vMerge/>
          </w:tcPr>
          <w:p w:rsidR="00EE613A" w:rsidRPr="00EE613A" w:rsidRDefault="00EE613A" w:rsidP="00EE613A">
            <w:pPr>
              <w:spacing w:before="120" w:after="120"/>
              <w:jc w:val="left"/>
              <w:rPr>
                <w:rFonts w:ascii="Calibri" w:hAnsi="Calibri" w:cs="Calibri"/>
                <w:b/>
                <w:color w:val="auto"/>
                <w:kern w:val="0"/>
                <w:sz w:val="22"/>
                <w:szCs w:val="20"/>
                <w:lang w:val="en-GB" w:eastAsia="en-GB"/>
              </w:rPr>
            </w:pPr>
          </w:p>
        </w:tc>
      </w:tr>
    </w:tbl>
    <w:p w:rsidR="00EE613A" w:rsidRPr="00EE613A" w:rsidRDefault="00EE613A" w:rsidP="00EE613A">
      <w:pPr>
        <w:jc w:val="left"/>
        <w:rPr>
          <w:rFonts w:ascii="Calibri" w:hAnsi="Calibri" w:cs="Calibri"/>
          <w:b/>
          <w:color w:val="auto"/>
          <w:kern w:val="0"/>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51"/>
      </w:tblGrid>
      <w:tr w:rsidR="00EE613A" w:rsidRPr="00EE613A" w:rsidTr="0084478A">
        <w:tc>
          <w:tcPr>
            <w:tcW w:w="4503" w:type="dxa"/>
            <w:shd w:val="clear" w:color="auto" w:fill="auto"/>
          </w:tcPr>
          <w:p w:rsidR="00EE613A" w:rsidRPr="00EE613A" w:rsidRDefault="00EE613A" w:rsidP="00EE613A">
            <w:pPr>
              <w:jc w:val="right"/>
              <w:rPr>
                <w:rFonts w:ascii="Calibri" w:hAnsi="Calibri" w:cs="Calibri"/>
                <w:b/>
                <w:color w:val="auto"/>
                <w:kern w:val="0"/>
                <w:sz w:val="16"/>
                <w:szCs w:val="16"/>
                <w:lang w:val="en-GB" w:eastAsia="en-GB"/>
              </w:rPr>
            </w:pPr>
          </w:p>
          <w:p w:rsidR="00EE613A" w:rsidRPr="00EE613A" w:rsidRDefault="00EE613A" w:rsidP="00EE613A">
            <w:pPr>
              <w:jc w:val="left"/>
              <w:rPr>
                <w:rFonts w:ascii="Calibri" w:hAnsi="Calibri" w:cs="Calibri"/>
                <w:b/>
                <w:color w:val="auto"/>
                <w:kern w:val="0"/>
                <w:sz w:val="22"/>
                <w:szCs w:val="22"/>
                <w:lang w:val="en-GB" w:eastAsia="en-GB"/>
              </w:rPr>
            </w:pPr>
            <w:r w:rsidRPr="00EE613A">
              <w:rPr>
                <w:rFonts w:ascii="Calibri" w:hAnsi="Calibri" w:cs="Calibri"/>
                <w:b/>
                <w:color w:val="auto"/>
                <w:kern w:val="0"/>
                <w:sz w:val="22"/>
                <w:szCs w:val="22"/>
                <w:lang w:val="en-GB" w:eastAsia="en-GB"/>
              </w:rPr>
              <w:t xml:space="preserve">Email address for receipt </w:t>
            </w:r>
          </w:p>
          <w:p w:rsidR="00EE613A" w:rsidRPr="00EE613A" w:rsidRDefault="00EE613A" w:rsidP="00EE613A">
            <w:pPr>
              <w:jc w:val="right"/>
              <w:rPr>
                <w:rFonts w:ascii="Calibri" w:hAnsi="Calibri" w:cs="Calibri"/>
                <w:b/>
                <w:color w:val="auto"/>
                <w:kern w:val="0"/>
                <w:sz w:val="16"/>
                <w:szCs w:val="16"/>
                <w:lang w:val="en-GB" w:eastAsia="en-GB"/>
              </w:rPr>
            </w:pPr>
          </w:p>
        </w:tc>
        <w:tc>
          <w:tcPr>
            <w:tcW w:w="5351" w:type="dxa"/>
            <w:shd w:val="clear" w:color="auto" w:fill="auto"/>
          </w:tcPr>
          <w:p w:rsidR="00EE613A" w:rsidRPr="00EE613A" w:rsidRDefault="00EE613A" w:rsidP="00EE613A">
            <w:pPr>
              <w:jc w:val="right"/>
              <w:rPr>
                <w:rFonts w:ascii="Calibri" w:hAnsi="Calibri" w:cs="Calibri"/>
                <w:b/>
                <w:color w:val="auto"/>
                <w:kern w:val="0"/>
                <w:sz w:val="22"/>
                <w:szCs w:val="22"/>
                <w:lang w:val="en-GB" w:eastAsia="en-GB"/>
              </w:rPr>
            </w:pPr>
          </w:p>
        </w:tc>
      </w:tr>
    </w:tbl>
    <w:p w:rsidR="00EE613A" w:rsidRPr="00EE613A" w:rsidRDefault="00EE613A" w:rsidP="00EE613A">
      <w:pPr>
        <w:jc w:val="right"/>
        <w:rPr>
          <w:rFonts w:ascii="Calibri" w:hAnsi="Calibri" w:cs="Calibri"/>
          <w:color w:val="auto"/>
          <w:kern w:val="0"/>
          <w:sz w:val="22"/>
          <w:szCs w:val="20"/>
          <w:lang w:val="en-GB" w:eastAsia="en-GB"/>
        </w:rPr>
      </w:pPr>
      <w:r w:rsidRPr="00EE613A">
        <w:rPr>
          <w:rFonts w:ascii="Calibri" w:hAnsi="Calibri" w:cs="Calibri"/>
          <w:color w:val="auto"/>
          <w:kern w:val="0"/>
          <w:sz w:val="22"/>
          <w:szCs w:val="20"/>
          <w:lang w:val="en-GB" w:eastAsia="en-GB"/>
        </w:rPr>
        <w:t>Continue on a separate sheet if necessary giving full details.</w:t>
      </w:r>
    </w:p>
    <w:p w:rsidR="00EE613A" w:rsidRPr="00EE613A" w:rsidRDefault="00EE613A" w:rsidP="00EE613A">
      <w:pPr>
        <w:jc w:val="left"/>
        <w:rPr>
          <w:rFonts w:ascii="Calibri" w:hAnsi="Calibri" w:cs="Calibri"/>
          <w:color w:val="auto"/>
          <w:kern w:val="0"/>
          <w:sz w:val="22"/>
          <w:szCs w:val="20"/>
          <w:lang w:val="en-GB" w:eastAsia="en-GB"/>
        </w:rPr>
      </w:pPr>
    </w:p>
    <w:p w:rsidR="00EE613A" w:rsidRPr="00EE613A" w:rsidRDefault="00EE613A" w:rsidP="00EE613A">
      <w:pPr>
        <w:jc w:val="left"/>
        <w:rPr>
          <w:rFonts w:ascii="Calibri" w:hAnsi="Calibri" w:cs="Calibri"/>
          <w:color w:val="auto"/>
          <w:kern w:val="0"/>
          <w:sz w:val="22"/>
          <w:szCs w:val="20"/>
          <w:lang w:val="en-GB" w:eastAsia="en-GB"/>
        </w:rPr>
      </w:pPr>
      <w:r w:rsidRPr="00EE613A">
        <w:rPr>
          <w:rFonts w:ascii="Calibri" w:hAnsi="Calibri" w:cs="Calibri"/>
          <w:color w:val="auto"/>
          <w:kern w:val="0"/>
          <w:sz w:val="22"/>
          <w:szCs w:val="20"/>
          <w:lang w:val="en-GB" w:eastAsia="en-GB"/>
        </w:rPr>
        <w:t xml:space="preserve">Remittances should be made payable to: </w:t>
      </w:r>
    </w:p>
    <w:p w:rsidR="00EE613A" w:rsidRPr="00EE613A" w:rsidRDefault="00EE613A" w:rsidP="00EE613A">
      <w:pPr>
        <w:jc w:val="left"/>
        <w:rPr>
          <w:rFonts w:ascii="Calibri" w:hAnsi="Calibri" w:cs="Calibri"/>
          <w:color w:val="auto"/>
          <w:kern w:val="0"/>
          <w:sz w:val="22"/>
          <w:szCs w:val="20"/>
          <w:lang w:val="en-GB" w:eastAsia="en-GB"/>
        </w:rPr>
      </w:pPr>
    </w:p>
    <w:p w:rsidR="00EE613A" w:rsidRPr="00EE613A" w:rsidRDefault="00EE613A" w:rsidP="00EE613A">
      <w:pPr>
        <w:jc w:val="left"/>
        <w:rPr>
          <w:rFonts w:ascii="Calibri" w:hAnsi="Calibri" w:cs="Calibri"/>
          <w:b/>
          <w:color w:val="auto"/>
          <w:kern w:val="0"/>
          <w:sz w:val="22"/>
          <w:szCs w:val="20"/>
          <w:lang w:val="en-GB" w:eastAsia="en-GB"/>
        </w:rPr>
      </w:pPr>
    </w:p>
    <w:p w:rsidR="00EE613A" w:rsidRPr="00EE613A" w:rsidRDefault="00EE613A" w:rsidP="00EE613A">
      <w:pPr>
        <w:rPr>
          <w:rFonts w:ascii="Calibri" w:hAnsi="Calibri" w:cs="Calibri"/>
          <w:color w:val="333399"/>
          <w:kern w:val="0"/>
          <w:sz w:val="22"/>
          <w:szCs w:val="22"/>
          <w:lang w:val="en-GB" w:eastAsia="en-GB"/>
        </w:rPr>
      </w:pPr>
      <w:r w:rsidRPr="00EE613A">
        <w:rPr>
          <w:rFonts w:ascii="Calibri" w:hAnsi="Calibri" w:cs="Calibri"/>
          <w:color w:val="333399"/>
          <w:kern w:val="0"/>
          <w:sz w:val="22"/>
          <w:szCs w:val="22"/>
          <w:lang w:val="en-GB" w:eastAsia="en-GB"/>
        </w:rPr>
        <w:t>IRRV Yorkshire &amp; District Association</w:t>
      </w:r>
    </w:p>
    <w:p w:rsidR="00EE613A" w:rsidRPr="00EE613A" w:rsidRDefault="00EE613A" w:rsidP="00EE613A">
      <w:pPr>
        <w:rPr>
          <w:rFonts w:ascii="Calibri" w:hAnsi="Calibri" w:cs="Calibri"/>
          <w:color w:val="333399"/>
          <w:kern w:val="0"/>
          <w:sz w:val="22"/>
          <w:szCs w:val="22"/>
          <w:lang w:val="en-GB" w:eastAsia="en-GB"/>
        </w:rPr>
      </w:pPr>
      <w:r w:rsidRPr="00EE613A">
        <w:rPr>
          <w:rFonts w:ascii="Calibri" w:hAnsi="Calibri" w:cs="Calibri"/>
          <w:color w:val="333399"/>
          <w:kern w:val="0"/>
          <w:sz w:val="22"/>
          <w:szCs w:val="22"/>
          <w:lang w:val="en-GB" w:eastAsia="en-GB"/>
        </w:rPr>
        <w:t>HSBC - Sort Code 40-13-30 - Account Number 91170333</w:t>
      </w:r>
    </w:p>
    <w:p w:rsidR="00EE613A" w:rsidRPr="00EE613A" w:rsidRDefault="00EE613A" w:rsidP="00EE613A">
      <w:pPr>
        <w:jc w:val="right"/>
        <w:rPr>
          <w:rFonts w:ascii="Calibri" w:hAnsi="Calibri" w:cs="Calibri"/>
          <w:b/>
          <w:color w:val="auto"/>
          <w:kern w:val="0"/>
          <w:sz w:val="22"/>
          <w:szCs w:val="20"/>
          <w:lang w:val="en-GB" w:eastAsia="en-GB"/>
        </w:rPr>
      </w:pPr>
    </w:p>
    <w:p w:rsidR="00EE613A" w:rsidRPr="00EE613A" w:rsidRDefault="00EE613A" w:rsidP="00EE613A">
      <w:pPr>
        <w:keepNext/>
        <w:outlineLvl w:val="0"/>
        <w:rPr>
          <w:rFonts w:ascii="Calibri" w:hAnsi="Calibri" w:cs="Calibri"/>
          <w:color w:val="auto"/>
          <w:kern w:val="0"/>
          <w:szCs w:val="24"/>
          <w:lang w:val="en-GB" w:eastAsia="en-GB"/>
        </w:rPr>
      </w:pPr>
      <w:r w:rsidRPr="00EE613A">
        <w:rPr>
          <w:rFonts w:ascii="Calibri" w:hAnsi="Calibri" w:cs="Calibri"/>
          <w:color w:val="auto"/>
          <w:kern w:val="0"/>
          <w:szCs w:val="24"/>
          <w:lang w:val="en-GB" w:eastAsia="en-GB"/>
        </w:rPr>
        <w:t>Please forward the completed form and payment to (if paying by cheque):</w:t>
      </w:r>
    </w:p>
    <w:p w:rsidR="00EE613A" w:rsidRPr="00EE613A" w:rsidRDefault="00EE613A" w:rsidP="00EE613A">
      <w:pPr>
        <w:rPr>
          <w:rFonts w:ascii="Calibri" w:hAnsi="Calibri" w:cs="Calibri"/>
          <w:color w:val="auto"/>
          <w:kern w:val="0"/>
          <w:sz w:val="22"/>
          <w:szCs w:val="20"/>
          <w:lang w:val="en-GB" w:eastAsia="en-GB"/>
        </w:rPr>
      </w:pPr>
      <w:r w:rsidRPr="00EE613A">
        <w:rPr>
          <w:rFonts w:ascii="Calibri" w:hAnsi="Calibri" w:cs="Calibri"/>
          <w:color w:val="auto"/>
          <w:kern w:val="0"/>
          <w:sz w:val="22"/>
          <w:szCs w:val="20"/>
          <w:lang w:val="en-GB" w:eastAsia="en-GB"/>
        </w:rPr>
        <w:t xml:space="preserve">Claire Cracknell IRRV Hons - </w:t>
      </w:r>
      <w:hyperlink r:id="rId23" w:history="1">
        <w:r w:rsidRPr="00EE613A">
          <w:rPr>
            <w:rFonts w:ascii="Calibri" w:hAnsi="Calibri" w:cs="Calibri"/>
            <w:color w:val="0000FF"/>
            <w:kern w:val="0"/>
            <w:sz w:val="22"/>
            <w:szCs w:val="20"/>
            <w:u w:val="single"/>
            <w:lang w:val="en-GB" w:eastAsia="en-GB"/>
          </w:rPr>
          <w:t>claire.cracknell@harrogate.gov.uk</w:t>
        </w:r>
      </w:hyperlink>
    </w:p>
    <w:p w:rsidR="00EE613A" w:rsidRPr="00EE613A" w:rsidRDefault="00EE613A" w:rsidP="00EE613A">
      <w:pPr>
        <w:rPr>
          <w:rFonts w:ascii="Calibri" w:hAnsi="Calibri" w:cs="Calibri"/>
          <w:color w:val="auto"/>
          <w:kern w:val="0"/>
          <w:sz w:val="22"/>
          <w:szCs w:val="20"/>
          <w:lang w:val="en-GB" w:eastAsia="en-GB"/>
        </w:rPr>
      </w:pPr>
    </w:p>
    <w:p w:rsidR="00EE613A" w:rsidRPr="00EE613A" w:rsidRDefault="00EE613A" w:rsidP="00EE613A">
      <w:pPr>
        <w:ind w:left="720"/>
        <w:rPr>
          <w:rFonts w:ascii="Calibri" w:hAnsi="Calibri" w:cs="Calibri"/>
          <w:color w:val="auto"/>
          <w:kern w:val="0"/>
          <w:sz w:val="22"/>
          <w:szCs w:val="20"/>
          <w:lang w:val="en-GB" w:eastAsia="en-GB"/>
        </w:rPr>
      </w:pPr>
      <w:r w:rsidRPr="00EE613A">
        <w:rPr>
          <w:rFonts w:ascii="Calibri" w:hAnsi="Calibri" w:cs="Calibri"/>
          <w:color w:val="auto"/>
          <w:kern w:val="0"/>
          <w:sz w:val="22"/>
          <w:szCs w:val="20"/>
          <w:lang w:val="en-GB" w:eastAsia="en-GB"/>
        </w:rPr>
        <w:t>Harrogate Civic Centre, Harrogate, HG1 2AE</w:t>
      </w:r>
    </w:p>
    <w:p w:rsidR="00EE613A" w:rsidRPr="00EE613A" w:rsidRDefault="00EE613A" w:rsidP="00EE613A">
      <w:pPr>
        <w:ind w:left="720"/>
        <w:rPr>
          <w:rFonts w:ascii="Calibri" w:hAnsi="Calibri" w:cs="Calibri"/>
          <w:color w:val="auto"/>
          <w:kern w:val="0"/>
          <w:sz w:val="22"/>
          <w:szCs w:val="20"/>
          <w:lang w:val="en-GB" w:eastAsia="en-GB"/>
        </w:rPr>
      </w:pPr>
    </w:p>
    <w:p w:rsidR="00EE613A" w:rsidRPr="00EE613A" w:rsidRDefault="00EE613A" w:rsidP="00EE613A">
      <w:pPr>
        <w:rPr>
          <w:rFonts w:ascii="Calibri" w:hAnsi="Calibri" w:cs="Calibri"/>
          <w:color w:val="auto"/>
          <w:kern w:val="0"/>
          <w:sz w:val="22"/>
          <w:szCs w:val="20"/>
          <w:lang w:val="en-GB" w:eastAsia="en-GB"/>
        </w:rPr>
      </w:pPr>
      <w:r w:rsidRPr="00EE613A">
        <w:rPr>
          <w:rFonts w:ascii="Calibri" w:hAnsi="Calibri" w:cs="Calibri"/>
          <w:color w:val="auto"/>
          <w:kern w:val="0"/>
          <w:sz w:val="22"/>
          <w:szCs w:val="20"/>
          <w:lang w:val="en-GB" w:eastAsia="en-GB"/>
        </w:rPr>
        <w:t xml:space="preserve">Please copy </w:t>
      </w:r>
      <w:hyperlink r:id="rId24" w:history="1">
        <w:r w:rsidRPr="00EE613A">
          <w:rPr>
            <w:rFonts w:ascii="Calibri" w:hAnsi="Calibri" w:cs="Calibri"/>
            <w:color w:val="0000FF"/>
            <w:kern w:val="0"/>
            <w:sz w:val="22"/>
            <w:szCs w:val="20"/>
            <w:u w:val="single"/>
            <w:lang w:val="en-GB" w:eastAsia="en-GB"/>
          </w:rPr>
          <w:t>darren.kelk@ascendantsol.co.uk</w:t>
        </w:r>
      </w:hyperlink>
      <w:r w:rsidRPr="00EE613A">
        <w:rPr>
          <w:rFonts w:ascii="Calibri" w:hAnsi="Calibri" w:cs="Calibri"/>
          <w:color w:val="auto"/>
          <w:kern w:val="0"/>
          <w:sz w:val="22"/>
          <w:szCs w:val="20"/>
          <w:lang w:val="en-GB" w:eastAsia="en-GB"/>
        </w:rPr>
        <w:t xml:space="preserve"> into all emails</w:t>
      </w:r>
    </w:p>
    <w:p w:rsidR="00EE613A" w:rsidRDefault="00EE613A"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5E0EB7">
      <w:pPr>
        <w:ind w:left="2880" w:firstLine="720"/>
        <w:jc w:val="both"/>
        <w:rPr>
          <w:noProof/>
          <w:lang w:val="en-GB" w:eastAsia="en-GB"/>
        </w:rPr>
      </w:pPr>
    </w:p>
    <w:p w:rsidR="00B92052" w:rsidRDefault="00B92052" w:rsidP="00B92052">
      <w:pPr>
        <w:ind w:left="284"/>
        <w:rPr>
          <w:noProof/>
          <w:lang w:val="en-GB" w:eastAsia="en-GB"/>
        </w:rPr>
      </w:pPr>
      <w:r>
        <w:rPr>
          <w:noProof/>
          <w:lang w:val="en-GB" w:eastAsia="en-GB"/>
        </w:rPr>
        <w:t>Programme</w:t>
      </w:r>
    </w:p>
    <w:p w:rsidR="00B92052" w:rsidRDefault="00B92052" w:rsidP="00B92052">
      <w:pPr>
        <w:ind w:left="284"/>
        <w:rPr>
          <w:noProof/>
          <w:lang w:val="en-GB" w:eastAsia="en-GB"/>
        </w:rPr>
      </w:pPr>
    </w:p>
    <w:p w:rsidR="00B92052" w:rsidRDefault="00B92052" w:rsidP="00B92052">
      <w:pPr>
        <w:ind w:left="284"/>
        <w:jc w:val="left"/>
        <w:rPr>
          <w:noProof/>
          <w:lang w:val="en-GB" w:eastAsia="en-GB"/>
        </w:rPr>
      </w:pPr>
      <w:r>
        <w:rPr>
          <w:noProof/>
          <w:lang w:val="en-GB" w:eastAsia="en-GB"/>
        </w:rPr>
        <w:t>9:30</w:t>
      </w:r>
      <w:r>
        <w:rPr>
          <w:noProof/>
          <w:lang w:val="en-GB" w:eastAsia="en-GB"/>
        </w:rPr>
        <w:tab/>
      </w:r>
      <w:r>
        <w:rPr>
          <w:noProof/>
          <w:lang w:val="en-GB" w:eastAsia="en-GB"/>
        </w:rPr>
        <w:tab/>
        <w:t>Coffee and Registration</w:t>
      </w:r>
    </w:p>
    <w:p w:rsidR="00B92052" w:rsidRDefault="00B92052" w:rsidP="00B92052">
      <w:pPr>
        <w:ind w:left="284"/>
        <w:jc w:val="left"/>
        <w:rPr>
          <w:noProof/>
          <w:lang w:val="en-GB" w:eastAsia="en-GB"/>
        </w:rPr>
      </w:pPr>
    </w:p>
    <w:p w:rsidR="00B92052" w:rsidRDefault="00B92052" w:rsidP="00B92052">
      <w:pPr>
        <w:ind w:left="284"/>
        <w:jc w:val="left"/>
        <w:rPr>
          <w:noProof/>
          <w:lang w:val="en-GB" w:eastAsia="en-GB"/>
        </w:rPr>
      </w:pPr>
      <w:r>
        <w:rPr>
          <w:noProof/>
          <w:lang w:val="en-GB" w:eastAsia="en-GB"/>
        </w:rPr>
        <w:t>9:45</w:t>
      </w:r>
      <w:r>
        <w:rPr>
          <w:noProof/>
          <w:lang w:val="en-GB" w:eastAsia="en-GB"/>
        </w:rPr>
        <w:tab/>
      </w:r>
      <w:r>
        <w:rPr>
          <w:noProof/>
          <w:lang w:val="en-GB" w:eastAsia="en-GB"/>
        </w:rPr>
        <w:tab/>
        <w:t>Welcome by Samantha Smith Yorkshire &amp; District IRRV Association</w:t>
      </w:r>
      <w:r w:rsidR="00D42C21">
        <w:rPr>
          <w:noProof/>
          <w:lang w:val="en-GB" w:eastAsia="en-GB"/>
        </w:rPr>
        <w:t xml:space="preserve"> President</w:t>
      </w:r>
    </w:p>
    <w:p w:rsidR="00B92052" w:rsidRDefault="00B92052" w:rsidP="00B92052">
      <w:pPr>
        <w:ind w:left="284"/>
        <w:jc w:val="left"/>
        <w:rPr>
          <w:noProof/>
          <w:lang w:val="en-GB" w:eastAsia="en-GB"/>
        </w:rPr>
      </w:pPr>
    </w:p>
    <w:p w:rsidR="00B92052" w:rsidRDefault="00B92052" w:rsidP="00B92052">
      <w:pPr>
        <w:ind w:left="284"/>
        <w:jc w:val="left"/>
        <w:rPr>
          <w:noProof/>
          <w:lang w:val="en-GB" w:eastAsia="en-GB"/>
        </w:rPr>
      </w:pPr>
      <w:r>
        <w:rPr>
          <w:noProof/>
          <w:lang w:val="en-GB" w:eastAsia="en-GB"/>
        </w:rPr>
        <w:t>9:50</w:t>
      </w:r>
      <w:r>
        <w:rPr>
          <w:noProof/>
          <w:lang w:val="en-GB" w:eastAsia="en-GB"/>
        </w:rPr>
        <w:tab/>
      </w:r>
      <w:r>
        <w:rPr>
          <w:noProof/>
          <w:lang w:val="en-GB" w:eastAsia="en-GB"/>
        </w:rPr>
        <w:tab/>
        <w:t xml:space="preserve">David Magor – Chief Executive IRRV – </w:t>
      </w:r>
    </w:p>
    <w:p w:rsidR="00B92052" w:rsidRDefault="00B92052" w:rsidP="00B92052">
      <w:pPr>
        <w:ind w:left="284"/>
        <w:jc w:val="left"/>
        <w:rPr>
          <w:noProof/>
          <w:lang w:val="en-GB" w:eastAsia="en-GB"/>
        </w:rPr>
      </w:pPr>
    </w:p>
    <w:p w:rsidR="00AA03AA" w:rsidRPr="00AA03AA" w:rsidRDefault="00B92052" w:rsidP="00BA1173">
      <w:pPr>
        <w:ind w:left="1439" w:hanging="1155"/>
        <w:jc w:val="left"/>
        <w:rPr>
          <w:b/>
          <w:noProof/>
          <w:lang w:val="en-GB" w:eastAsia="en-GB"/>
        </w:rPr>
      </w:pPr>
      <w:r>
        <w:rPr>
          <w:noProof/>
          <w:lang w:val="en-GB" w:eastAsia="en-GB"/>
        </w:rPr>
        <w:t>10:25</w:t>
      </w:r>
      <w:r>
        <w:rPr>
          <w:noProof/>
          <w:lang w:val="en-GB" w:eastAsia="en-GB"/>
        </w:rPr>
        <w:tab/>
      </w:r>
      <w:r w:rsidR="00AA03AA" w:rsidRPr="00AA03AA">
        <w:rPr>
          <w:b/>
          <w:noProof/>
          <w:lang w:val="en-GB" w:eastAsia="en-GB"/>
        </w:rPr>
        <w:t>The government's ongoing work on ensuring fairness in debt collection, its relationship with the debt collection and debt advice sectors and plans for the future</w:t>
      </w:r>
    </w:p>
    <w:p w:rsidR="00B92052" w:rsidRDefault="00B92052" w:rsidP="00AA03AA">
      <w:pPr>
        <w:ind w:left="1439"/>
        <w:jc w:val="left"/>
        <w:rPr>
          <w:noProof/>
          <w:lang w:val="en-GB" w:eastAsia="en-GB"/>
        </w:rPr>
      </w:pPr>
      <w:r>
        <w:rPr>
          <w:noProof/>
          <w:lang w:val="en-GB" w:eastAsia="en-GB"/>
        </w:rPr>
        <w:t xml:space="preserve">Joseph Surtess - </w:t>
      </w:r>
      <w:r w:rsidRPr="00B92052">
        <w:rPr>
          <w:noProof/>
          <w:lang w:val="en-GB" w:eastAsia="en-GB"/>
        </w:rPr>
        <w:t>Head of Debt Function Policy, Government Debt Management Function, Fraud, Error, Debt, and Grants - Cabinet Office</w:t>
      </w:r>
      <w:r>
        <w:rPr>
          <w:noProof/>
          <w:lang w:val="en-GB" w:eastAsia="en-GB"/>
        </w:rPr>
        <w:t xml:space="preserve"> – </w:t>
      </w:r>
    </w:p>
    <w:p w:rsidR="00B92052" w:rsidRDefault="00B92052" w:rsidP="00B92052">
      <w:pPr>
        <w:ind w:left="284"/>
        <w:jc w:val="left"/>
        <w:rPr>
          <w:noProof/>
          <w:lang w:val="en-GB" w:eastAsia="en-GB"/>
        </w:rPr>
      </w:pPr>
    </w:p>
    <w:p w:rsidR="00B92052" w:rsidRDefault="00B92052" w:rsidP="00FE112D">
      <w:pPr>
        <w:ind w:left="284"/>
        <w:jc w:val="left"/>
        <w:rPr>
          <w:noProof/>
          <w:lang w:val="en-GB" w:eastAsia="en-GB"/>
        </w:rPr>
      </w:pPr>
      <w:r>
        <w:rPr>
          <w:noProof/>
          <w:lang w:val="en-GB" w:eastAsia="en-GB"/>
        </w:rPr>
        <w:t>10:50</w:t>
      </w:r>
      <w:r>
        <w:rPr>
          <w:noProof/>
          <w:lang w:val="en-GB" w:eastAsia="en-GB"/>
        </w:rPr>
        <w:tab/>
      </w:r>
      <w:r w:rsidR="00004DCC" w:rsidRPr="00004DCC">
        <w:rPr>
          <w:noProof/>
          <w:lang w:val="en-GB" w:eastAsia="en-GB"/>
        </w:rPr>
        <w:t xml:space="preserve"> </w:t>
      </w:r>
      <w:r w:rsidR="00E21C57" w:rsidRPr="00E21C57">
        <w:rPr>
          <w:noProof/>
          <w:lang w:val="en-GB" w:eastAsia="en-GB"/>
        </w:rPr>
        <w:t>Sarah Lambert – CEO - IE HUB</w:t>
      </w:r>
    </w:p>
    <w:p w:rsidR="00B92052" w:rsidRDefault="00B92052" w:rsidP="00B92052">
      <w:pPr>
        <w:ind w:left="284"/>
        <w:jc w:val="left"/>
        <w:rPr>
          <w:noProof/>
          <w:lang w:val="en-GB" w:eastAsia="en-GB"/>
        </w:rPr>
      </w:pPr>
    </w:p>
    <w:p w:rsidR="00B92052" w:rsidRDefault="00B92052" w:rsidP="00B92052">
      <w:pPr>
        <w:ind w:left="284"/>
        <w:jc w:val="left"/>
        <w:rPr>
          <w:noProof/>
          <w:lang w:val="en-GB" w:eastAsia="en-GB"/>
        </w:rPr>
      </w:pPr>
      <w:r>
        <w:rPr>
          <w:noProof/>
          <w:lang w:val="en-GB" w:eastAsia="en-GB"/>
        </w:rPr>
        <w:t>11:10</w:t>
      </w:r>
      <w:r>
        <w:rPr>
          <w:noProof/>
          <w:lang w:val="en-GB" w:eastAsia="en-GB"/>
        </w:rPr>
        <w:tab/>
        <w:t>Tea &amp; Coffee</w:t>
      </w:r>
    </w:p>
    <w:p w:rsidR="00B92052" w:rsidRDefault="00B92052" w:rsidP="00B92052">
      <w:pPr>
        <w:ind w:left="284"/>
        <w:jc w:val="left"/>
        <w:rPr>
          <w:noProof/>
          <w:lang w:val="en-GB" w:eastAsia="en-GB"/>
        </w:rPr>
      </w:pPr>
    </w:p>
    <w:p w:rsidR="00B92052" w:rsidRDefault="00B92052" w:rsidP="00B92052">
      <w:pPr>
        <w:ind w:left="284"/>
        <w:jc w:val="left"/>
        <w:rPr>
          <w:noProof/>
          <w:lang w:val="en-GB" w:eastAsia="en-GB"/>
        </w:rPr>
      </w:pPr>
      <w:r>
        <w:rPr>
          <w:noProof/>
          <w:lang w:val="en-GB" w:eastAsia="en-GB"/>
        </w:rPr>
        <w:t xml:space="preserve">11:30 </w:t>
      </w:r>
      <w:r>
        <w:rPr>
          <w:noProof/>
          <w:lang w:val="en-GB" w:eastAsia="en-GB"/>
        </w:rPr>
        <w:tab/>
      </w:r>
      <w:r w:rsidR="00E21C57" w:rsidRPr="00E21C57">
        <w:rPr>
          <w:noProof/>
          <w:lang w:val="en-GB" w:eastAsia="en-GB"/>
        </w:rPr>
        <w:t>Paul Bowden – Partner – Wilkin Chapman LLP</w:t>
      </w:r>
    </w:p>
    <w:p w:rsidR="00B92052" w:rsidRDefault="00B92052" w:rsidP="00B92052">
      <w:pPr>
        <w:ind w:left="284"/>
        <w:jc w:val="left"/>
        <w:rPr>
          <w:noProof/>
          <w:lang w:val="en-GB" w:eastAsia="en-GB"/>
        </w:rPr>
      </w:pPr>
    </w:p>
    <w:p w:rsidR="009E32A7" w:rsidRDefault="00B92052" w:rsidP="00E21C57">
      <w:pPr>
        <w:ind w:left="284"/>
        <w:jc w:val="left"/>
        <w:rPr>
          <w:noProof/>
          <w:lang w:val="en-GB" w:eastAsia="en-GB"/>
        </w:rPr>
      </w:pPr>
      <w:r>
        <w:rPr>
          <w:noProof/>
          <w:lang w:val="en-GB" w:eastAsia="en-GB"/>
        </w:rPr>
        <w:t>11:50</w:t>
      </w:r>
      <w:r>
        <w:rPr>
          <w:noProof/>
          <w:lang w:val="en-GB" w:eastAsia="en-GB"/>
        </w:rPr>
        <w:tab/>
      </w:r>
      <w:r w:rsidR="00E21C57">
        <w:rPr>
          <w:noProof/>
          <w:lang w:val="en-GB" w:eastAsia="en-GB"/>
        </w:rPr>
        <w:t>Lunch</w:t>
      </w:r>
    </w:p>
    <w:p w:rsidR="009E32A7" w:rsidRDefault="009E32A7" w:rsidP="00B92052">
      <w:pPr>
        <w:ind w:left="284"/>
        <w:jc w:val="left"/>
        <w:rPr>
          <w:noProof/>
          <w:lang w:val="en-GB" w:eastAsia="en-GB"/>
        </w:rPr>
      </w:pPr>
    </w:p>
    <w:p w:rsidR="00575BE0" w:rsidRDefault="009E32A7" w:rsidP="00BA1173">
      <w:pPr>
        <w:ind w:left="1439" w:hanging="1155"/>
        <w:jc w:val="left"/>
        <w:rPr>
          <w:noProof/>
          <w:lang w:val="en-GB" w:eastAsia="en-GB"/>
        </w:rPr>
      </w:pPr>
      <w:r>
        <w:rPr>
          <w:noProof/>
          <w:lang w:val="en-GB" w:eastAsia="en-GB"/>
        </w:rPr>
        <w:t>13:15</w:t>
      </w:r>
      <w:r>
        <w:rPr>
          <w:noProof/>
          <w:lang w:val="en-GB" w:eastAsia="en-GB"/>
        </w:rPr>
        <w:tab/>
      </w:r>
      <w:r w:rsidR="00575BE0" w:rsidRPr="00575BE0">
        <w:rPr>
          <w:b/>
          <w:noProof/>
          <w:lang w:val="en-GB" w:eastAsia="en-GB"/>
        </w:rPr>
        <w:t>VAW (Vulnerability Assessment in Walsall) as opposed to VAR - Proactive as opposed to Reactive</w:t>
      </w:r>
    </w:p>
    <w:p w:rsidR="00BA1173" w:rsidRDefault="009E32A7" w:rsidP="00575BE0">
      <w:pPr>
        <w:ind w:left="1439"/>
        <w:jc w:val="left"/>
        <w:rPr>
          <w:noProof/>
          <w:lang w:val="en-GB" w:eastAsia="en-GB"/>
        </w:rPr>
      </w:pPr>
      <w:r w:rsidRPr="009E32A7">
        <w:rPr>
          <w:noProof/>
          <w:lang w:val="en-GB" w:eastAsia="en-GB"/>
        </w:rPr>
        <w:t>Mark Fearn IRRV (Hons) - Project Lead / Interim Head of Service, Resources and Transformation - Walsall Council</w:t>
      </w:r>
      <w:r w:rsidR="00BA1173">
        <w:rPr>
          <w:noProof/>
          <w:lang w:val="en-GB" w:eastAsia="en-GB"/>
        </w:rPr>
        <w:t xml:space="preserve"> </w:t>
      </w:r>
    </w:p>
    <w:p w:rsidR="00BA1173" w:rsidRDefault="009E32A7" w:rsidP="00BA1173">
      <w:pPr>
        <w:ind w:left="1439"/>
        <w:jc w:val="left"/>
        <w:rPr>
          <w:noProof/>
          <w:lang w:val="en-GB" w:eastAsia="en-GB"/>
        </w:rPr>
      </w:pPr>
      <w:r w:rsidRPr="009E32A7">
        <w:rPr>
          <w:noProof/>
          <w:lang w:val="en-GB" w:eastAsia="en-GB"/>
        </w:rPr>
        <w:t>Darren Kelk MCICM IRRV – Managing Director – Ascendant Solutions Limited</w:t>
      </w:r>
      <w:r w:rsidR="00BA1173">
        <w:rPr>
          <w:noProof/>
          <w:lang w:val="en-GB" w:eastAsia="en-GB"/>
        </w:rPr>
        <w:t xml:space="preserve"> </w:t>
      </w:r>
    </w:p>
    <w:p w:rsidR="009E32A7" w:rsidRDefault="009E32A7" w:rsidP="00BA1173">
      <w:pPr>
        <w:ind w:left="1439"/>
        <w:jc w:val="left"/>
        <w:rPr>
          <w:noProof/>
          <w:lang w:val="en-GB" w:eastAsia="en-GB"/>
        </w:rPr>
      </w:pPr>
      <w:r>
        <w:rPr>
          <w:noProof/>
          <w:lang w:val="en-GB" w:eastAsia="en-GB"/>
        </w:rPr>
        <w:t xml:space="preserve">Laura Naylor – </w:t>
      </w:r>
      <w:r w:rsidR="00FE5E1E">
        <w:rPr>
          <w:noProof/>
          <w:lang w:val="en-GB" w:eastAsia="en-GB"/>
        </w:rPr>
        <w:t xml:space="preserve">Marketing Manager - </w:t>
      </w:r>
      <w:r w:rsidR="00BA1173">
        <w:rPr>
          <w:noProof/>
          <w:lang w:val="en-GB" w:eastAsia="en-GB"/>
        </w:rPr>
        <w:t>Dukes Bailiffs</w:t>
      </w:r>
    </w:p>
    <w:p w:rsidR="009E32A7" w:rsidRDefault="009E32A7" w:rsidP="00B92052">
      <w:pPr>
        <w:ind w:left="284"/>
        <w:jc w:val="left"/>
        <w:rPr>
          <w:noProof/>
          <w:lang w:val="en-GB" w:eastAsia="en-GB"/>
        </w:rPr>
      </w:pPr>
    </w:p>
    <w:p w:rsidR="009E32A7" w:rsidRDefault="009E32A7" w:rsidP="00AA03AA">
      <w:pPr>
        <w:ind w:left="1439" w:hanging="1155"/>
        <w:jc w:val="left"/>
        <w:rPr>
          <w:noProof/>
          <w:lang w:val="en-GB" w:eastAsia="en-GB"/>
        </w:rPr>
      </w:pPr>
      <w:r>
        <w:rPr>
          <w:noProof/>
          <w:lang w:val="en-GB" w:eastAsia="en-GB"/>
        </w:rPr>
        <w:t>13:50</w:t>
      </w:r>
      <w:r>
        <w:rPr>
          <w:noProof/>
          <w:lang w:val="en-GB" w:eastAsia="en-GB"/>
        </w:rPr>
        <w:tab/>
      </w:r>
      <w:r w:rsidR="00AA03AA" w:rsidRPr="00AA03AA">
        <w:rPr>
          <w:b/>
          <w:noProof/>
          <w:lang w:val="en-GB" w:eastAsia="en-GB"/>
        </w:rPr>
        <w:t>Revealing the breadth and depth of vulnerability and the overwhelming nature of multiple complex needs</w:t>
      </w:r>
      <w:r w:rsidR="00AA03AA">
        <w:rPr>
          <w:noProof/>
          <w:lang w:val="en-GB" w:eastAsia="en-GB"/>
        </w:rPr>
        <w:t xml:space="preserve"> </w:t>
      </w:r>
      <w:r>
        <w:rPr>
          <w:noProof/>
          <w:lang w:val="en-GB" w:eastAsia="en-GB"/>
        </w:rPr>
        <w:t xml:space="preserve">Jonathan Shaw </w:t>
      </w:r>
      <w:r w:rsidRPr="009E32A7">
        <w:rPr>
          <w:noProof/>
          <w:lang w:val="en-GB" w:eastAsia="en-GB"/>
        </w:rPr>
        <w:t>- Creditor Relationship Manager - Christians Against Poverty</w:t>
      </w:r>
      <w:r>
        <w:rPr>
          <w:noProof/>
          <w:lang w:val="en-GB" w:eastAsia="en-GB"/>
        </w:rPr>
        <w:t xml:space="preserve"> – </w:t>
      </w:r>
    </w:p>
    <w:p w:rsidR="006E2C7D" w:rsidRDefault="006E2C7D" w:rsidP="00B92052">
      <w:pPr>
        <w:ind w:left="284"/>
        <w:jc w:val="left"/>
        <w:rPr>
          <w:noProof/>
          <w:lang w:val="en-GB" w:eastAsia="en-GB"/>
        </w:rPr>
      </w:pPr>
    </w:p>
    <w:p w:rsidR="000A6C79" w:rsidRDefault="006E2C7D" w:rsidP="00B92052">
      <w:pPr>
        <w:ind w:left="284"/>
        <w:jc w:val="left"/>
        <w:rPr>
          <w:noProof/>
          <w:lang w:val="en-GB" w:eastAsia="en-GB"/>
        </w:rPr>
      </w:pPr>
      <w:r>
        <w:rPr>
          <w:noProof/>
          <w:lang w:val="en-GB" w:eastAsia="en-GB"/>
        </w:rPr>
        <w:t>14:10</w:t>
      </w:r>
      <w:r>
        <w:rPr>
          <w:noProof/>
          <w:lang w:val="en-GB" w:eastAsia="en-GB"/>
        </w:rPr>
        <w:tab/>
      </w:r>
      <w:r w:rsidR="000A6C79" w:rsidRPr="000A6C79">
        <w:rPr>
          <w:b/>
          <w:noProof/>
          <w:lang w:val="en-GB" w:eastAsia="en-GB"/>
        </w:rPr>
        <w:t>Pilot of Advisor Capacity and Efficiency (PACE)</w:t>
      </w:r>
    </w:p>
    <w:p w:rsidR="006E2C7D" w:rsidRDefault="000A6C79" w:rsidP="000A6C79">
      <w:pPr>
        <w:ind w:left="1004" w:firstLine="436"/>
        <w:jc w:val="left"/>
        <w:rPr>
          <w:noProof/>
          <w:lang w:val="en-GB" w:eastAsia="en-GB"/>
        </w:rPr>
      </w:pPr>
      <w:r>
        <w:rPr>
          <w:noProof/>
          <w:lang w:val="en-GB" w:eastAsia="en-GB"/>
        </w:rPr>
        <w:t>Gary Kernaghan -</w:t>
      </w:r>
      <w:r w:rsidRPr="000A6C79">
        <w:rPr>
          <w:noProof/>
          <w:lang w:val="en-GB" w:eastAsia="en-GB"/>
        </w:rPr>
        <w:t xml:space="preserve"> Head of Money &amp; Debt Operations</w:t>
      </w:r>
      <w:r w:rsidR="006E2C7D">
        <w:rPr>
          <w:noProof/>
          <w:lang w:val="en-GB" w:eastAsia="en-GB"/>
        </w:rPr>
        <w:t xml:space="preserve">- </w:t>
      </w:r>
      <w:r w:rsidR="006E2C7D" w:rsidRPr="006E2C7D">
        <w:rPr>
          <w:noProof/>
          <w:lang w:val="en-GB" w:eastAsia="en-GB"/>
        </w:rPr>
        <w:t>Money and Pensions Service</w:t>
      </w:r>
      <w:r>
        <w:rPr>
          <w:noProof/>
          <w:lang w:val="en-GB" w:eastAsia="en-GB"/>
        </w:rPr>
        <w:t xml:space="preserve"> </w:t>
      </w:r>
    </w:p>
    <w:p w:rsidR="009E32A7" w:rsidRDefault="009E32A7" w:rsidP="00B92052">
      <w:pPr>
        <w:ind w:left="284"/>
        <w:jc w:val="left"/>
        <w:rPr>
          <w:noProof/>
          <w:lang w:val="en-GB" w:eastAsia="en-GB"/>
        </w:rPr>
      </w:pPr>
    </w:p>
    <w:p w:rsidR="009E32A7" w:rsidRDefault="006E2C7D" w:rsidP="00B92052">
      <w:pPr>
        <w:ind w:left="284"/>
        <w:jc w:val="left"/>
        <w:rPr>
          <w:noProof/>
          <w:lang w:val="en-GB" w:eastAsia="en-GB"/>
        </w:rPr>
      </w:pPr>
      <w:r>
        <w:rPr>
          <w:noProof/>
          <w:lang w:val="en-GB" w:eastAsia="en-GB"/>
        </w:rPr>
        <w:t>14:3</w:t>
      </w:r>
      <w:r w:rsidR="009E32A7">
        <w:rPr>
          <w:noProof/>
          <w:lang w:val="en-GB" w:eastAsia="en-GB"/>
        </w:rPr>
        <w:t xml:space="preserve">5 </w:t>
      </w:r>
      <w:r w:rsidR="009E32A7">
        <w:rPr>
          <w:noProof/>
          <w:lang w:val="en-GB" w:eastAsia="en-GB"/>
        </w:rPr>
        <w:tab/>
        <w:t>Tea &amp; Coffee</w:t>
      </w:r>
    </w:p>
    <w:p w:rsidR="009E32A7" w:rsidRDefault="009E32A7" w:rsidP="00B92052">
      <w:pPr>
        <w:ind w:left="284"/>
        <w:jc w:val="left"/>
        <w:rPr>
          <w:noProof/>
          <w:lang w:val="en-GB" w:eastAsia="en-GB"/>
        </w:rPr>
      </w:pPr>
    </w:p>
    <w:p w:rsidR="009E32A7" w:rsidRDefault="006E2C7D" w:rsidP="00B92052">
      <w:pPr>
        <w:ind w:left="284"/>
        <w:jc w:val="left"/>
        <w:rPr>
          <w:noProof/>
          <w:lang w:val="en-GB" w:eastAsia="en-GB"/>
        </w:rPr>
      </w:pPr>
      <w:r>
        <w:rPr>
          <w:noProof/>
          <w:lang w:val="en-GB" w:eastAsia="en-GB"/>
        </w:rPr>
        <w:t>14:45</w:t>
      </w:r>
      <w:r w:rsidR="008B07EA">
        <w:rPr>
          <w:noProof/>
          <w:lang w:val="en-GB" w:eastAsia="en-GB"/>
        </w:rPr>
        <w:tab/>
      </w:r>
      <w:r w:rsidR="00004DCC" w:rsidRPr="00004DCC">
        <w:rPr>
          <w:noProof/>
          <w:lang w:val="en-GB" w:eastAsia="en-GB"/>
        </w:rPr>
        <w:t>Edd Moore - Social Value Manager - Capita Enforcement –</w:t>
      </w:r>
    </w:p>
    <w:p w:rsidR="009E32A7" w:rsidRDefault="009E32A7" w:rsidP="00B92052">
      <w:pPr>
        <w:ind w:left="284"/>
        <w:jc w:val="left"/>
        <w:rPr>
          <w:noProof/>
          <w:lang w:val="en-GB" w:eastAsia="en-GB"/>
        </w:rPr>
      </w:pPr>
    </w:p>
    <w:p w:rsidR="0011176C" w:rsidRPr="0011176C" w:rsidRDefault="006E2C7D" w:rsidP="00B92052">
      <w:pPr>
        <w:ind w:left="284"/>
        <w:jc w:val="left"/>
        <w:rPr>
          <w:b/>
          <w:noProof/>
          <w:lang w:val="en-GB" w:eastAsia="en-GB"/>
        </w:rPr>
      </w:pPr>
      <w:r>
        <w:rPr>
          <w:noProof/>
          <w:lang w:val="en-GB" w:eastAsia="en-GB"/>
        </w:rPr>
        <w:t>13:10</w:t>
      </w:r>
      <w:r w:rsidR="009E32A7">
        <w:rPr>
          <w:noProof/>
          <w:lang w:val="en-GB" w:eastAsia="en-GB"/>
        </w:rPr>
        <w:tab/>
      </w:r>
      <w:r w:rsidR="0011176C" w:rsidRPr="0011176C">
        <w:rPr>
          <w:b/>
          <w:noProof/>
          <w:lang w:val="en-GB" w:eastAsia="en-GB"/>
        </w:rPr>
        <w:t>Rethinking vulnerability data – reflections on private/public sector needs and progress</w:t>
      </w:r>
    </w:p>
    <w:p w:rsidR="0011176C" w:rsidRPr="0011176C" w:rsidRDefault="0011176C" w:rsidP="0011176C">
      <w:pPr>
        <w:ind w:left="1004" w:firstLine="436"/>
        <w:jc w:val="left"/>
        <w:rPr>
          <w:noProof/>
          <w:lang w:val="en-GB" w:eastAsia="en-GB"/>
        </w:rPr>
      </w:pPr>
      <w:r>
        <w:rPr>
          <w:noProof/>
          <w:lang w:val="en-GB" w:eastAsia="en-GB"/>
        </w:rPr>
        <w:t xml:space="preserve">Dr </w:t>
      </w:r>
      <w:r w:rsidR="008B07EA">
        <w:rPr>
          <w:noProof/>
          <w:lang w:val="en-GB" w:eastAsia="en-GB"/>
        </w:rPr>
        <w:t xml:space="preserve">Phil Smith - </w:t>
      </w:r>
      <w:r w:rsidR="009E32A7">
        <w:rPr>
          <w:noProof/>
          <w:lang w:val="en-GB" w:eastAsia="en-GB"/>
        </w:rPr>
        <w:t>DWP</w:t>
      </w:r>
      <w:r w:rsidR="00BA1173">
        <w:rPr>
          <w:noProof/>
          <w:lang w:val="en-GB" w:eastAsia="en-GB"/>
        </w:rPr>
        <w:t xml:space="preserve"> –</w:t>
      </w:r>
      <w:r w:rsidR="008B07EA">
        <w:rPr>
          <w:noProof/>
          <w:lang w:val="en-GB" w:eastAsia="en-GB"/>
        </w:rPr>
        <w:t xml:space="preserve"> </w:t>
      </w:r>
    </w:p>
    <w:p w:rsidR="009E32A7" w:rsidRDefault="009E32A7" w:rsidP="00B92052">
      <w:pPr>
        <w:ind w:left="284"/>
        <w:jc w:val="left"/>
        <w:rPr>
          <w:noProof/>
          <w:lang w:val="en-GB" w:eastAsia="en-GB"/>
        </w:rPr>
      </w:pPr>
    </w:p>
    <w:p w:rsidR="009E32A7" w:rsidRDefault="006E2C7D" w:rsidP="00B92052">
      <w:pPr>
        <w:ind w:left="284"/>
        <w:jc w:val="left"/>
        <w:rPr>
          <w:noProof/>
          <w:lang w:val="en-GB" w:eastAsia="en-GB"/>
        </w:rPr>
      </w:pPr>
      <w:r>
        <w:rPr>
          <w:noProof/>
          <w:lang w:val="en-GB" w:eastAsia="en-GB"/>
        </w:rPr>
        <w:t>15:30</w:t>
      </w:r>
      <w:r w:rsidR="009E32A7">
        <w:rPr>
          <w:noProof/>
          <w:lang w:val="en-GB" w:eastAsia="en-GB"/>
        </w:rPr>
        <w:tab/>
        <w:t>Closing Address – Samantha Smith</w:t>
      </w:r>
    </w:p>
    <w:p w:rsidR="009E32A7" w:rsidRDefault="009E32A7" w:rsidP="00B92052">
      <w:pPr>
        <w:ind w:left="284"/>
        <w:jc w:val="left"/>
        <w:rPr>
          <w:noProof/>
          <w:lang w:val="en-GB" w:eastAsia="en-GB"/>
        </w:rPr>
      </w:pPr>
    </w:p>
    <w:p w:rsidR="009E32A7" w:rsidRPr="005E0EB7" w:rsidRDefault="009E32A7" w:rsidP="00B92052">
      <w:pPr>
        <w:ind w:left="284"/>
        <w:jc w:val="left"/>
        <w:rPr>
          <w:noProof/>
          <w:lang w:val="en-GB" w:eastAsia="en-GB"/>
        </w:rPr>
      </w:pPr>
      <w:r>
        <w:rPr>
          <w:noProof/>
          <w:lang w:val="en-GB" w:eastAsia="en-GB"/>
        </w:rPr>
        <w:t>15:30</w:t>
      </w:r>
      <w:r>
        <w:rPr>
          <w:noProof/>
          <w:lang w:val="en-GB" w:eastAsia="en-GB"/>
        </w:rPr>
        <w:tab/>
        <w:t>End of Seminar</w:t>
      </w:r>
    </w:p>
    <w:sectPr w:rsidR="009E32A7" w:rsidRPr="005E0EB7" w:rsidSect="00DD66F7">
      <w:type w:val="nextColumn"/>
      <w:pgSz w:w="12240" w:h="15840" w:code="1"/>
      <w:pgMar w:top="0" w:right="0" w:bottom="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3A" w:rsidRDefault="00155C3A" w:rsidP="00F0386A">
      <w:r>
        <w:separator/>
      </w:r>
    </w:p>
  </w:endnote>
  <w:endnote w:type="continuationSeparator" w:id="0">
    <w:p w:rsidR="00155C3A" w:rsidRDefault="00155C3A" w:rsidP="00F0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3A" w:rsidRDefault="00155C3A" w:rsidP="00F0386A">
      <w:r>
        <w:separator/>
      </w:r>
    </w:p>
  </w:footnote>
  <w:footnote w:type="continuationSeparator" w:id="0">
    <w:p w:rsidR="00155C3A" w:rsidRDefault="00155C3A" w:rsidP="00F0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4C"/>
    <w:rsid w:val="00004DCC"/>
    <w:rsid w:val="000121E6"/>
    <w:rsid w:val="00014C10"/>
    <w:rsid w:val="0005677E"/>
    <w:rsid w:val="0006134C"/>
    <w:rsid w:val="00091CA7"/>
    <w:rsid w:val="000A6C79"/>
    <w:rsid w:val="000B7D8C"/>
    <w:rsid w:val="000C34E2"/>
    <w:rsid w:val="000D65E8"/>
    <w:rsid w:val="000F3BF4"/>
    <w:rsid w:val="000F6385"/>
    <w:rsid w:val="00104A56"/>
    <w:rsid w:val="001070DD"/>
    <w:rsid w:val="0011176C"/>
    <w:rsid w:val="00126F18"/>
    <w:rsid w:val="00155C3A"/>
    <w:rsid w:val="0015757F"/>
    <w:rsid w:val="00170639"/>
    <w:rsid w:val="001730CC"/>
    <w:rsid w:val="00181C54"/>
    <w:rsid w:val="00182EA9"/>
    <w:rsid w:val="001A2FA1"/>
    <w:rsid w:val="001C5776"/>
    <w:rsid w:val="001C79BB"/>
    <w:rsid w:val="001D7CD1"/>
    <w:rsid w:val="001E16EF"/>
    <w:rsid w:val="001E2A4F"/>
    <w:rsid w:val="00203D2C"/>
    <w:rsid w:val="0021274C"/>
    <w:rsid w:val="0022266D"/>
    <w:rsid w:val="00237E63"/>
    <w:rsid w:val="00270051"/>
    <w:rsid w:val="002B44D6"/>
    <w:rsid w:val="002B68D1"/>
    <w:rsid w:val="002F70FB"/>
    <w:rsid w:val="00315FDE"/>
    <w:rsid w:val="00323961"/>
    <w:rsid w:val="00323DF4"/>
    <w:rsid w:val="00325D6F"/>
    <w:rsid w:val="0033213E"/>
    <w:rsid w:val="003414DE"/>
    <w:rsid w:val="00357F28"/>
    <w:rsid w:val="003736DE"/>
    <w:rsid w:val="003C4226"/>
    <w:rsid w:val="003D50B5"/>
    <w:rsid w:val="003D76C9"/>
    <w:rsid w:val="003E3B98"/>
    <w:rsid w:val="003E5D79"/>
    <w:rsid w:val="003E6F76"/>
    <w:rsid w:val="003F71A0"/>
    <w:rsid w:val="00401385"/>
    <w:rsid w:val="00407E51"/>
    <w:rsid w:val="004347AA"/>
    <w:rsid w:val="00461EEF"/>
    <w:rsid w:val="004734E5"/>
    <w:rsid w:val="00480E5B"/>
    <w:rsid w:val="004A50FE"/>
    <w:rsid w:val="004B4E47"/>
    <w:rsid w:val="004E30DC"/>
    <w:rsid w:val="004F4009"/>
    <w:rsid w:val="00502DE9"/>
    <w:rsid w:val="00506068"/>
    <w:rsid w:val="005063B3"/>
    <w:rsid w:val="00515194"/>
    <w:rsid w:val="00525BA2"/>
    <w:rsid w:val="00534025"/>
    <w:rsid w:val="005415E0"/>
    <w:rsid w:val="00575BE0"/>
    <w:rsid w:val="005A0D4F"/>
    <w:rsid w:val="005A62C2"/>
    <w:rsid w:val="005B5A6E"/>
    <w:rsid w:val="005B609D"/>
    <w:rsid w:val="005E0EB7"/>
    <w:rsid w:val="00617211"/>
    <w:rsid w:val="00652903"/>
    <w:rsid w:val="006557DD"/>
    <w:rsid w:val="006B14E2"/>
    <w:rsid w:val="006B2F7D"/>
    <w:rsid w:val="006B7FED"/>
    <w:rsid w:val="006C0DB5"/>
    <w:rsid w:val="006D21D0"/>
    <w:rsid w:val="006E1BC5"/>
    <w:rsid w:val="006E2C7D"/>
    <w:rsid w:val="006F5E1E"/>
    <w:rsid w:val="007521DB"/>
    <w:rsid w:val="00762C02"/>
    <w:rsid w:val="00782296"/>
    <w:rsid w:val="007A219D"/>
    <w:rsid w:val="007B39AB"/>
    <w:rsid w:val="007D3E82"/>
    <w:rsid w:val="00805623"/>
    <w:rsid w:val="008325BA"/>
    <w:rsid w:val="00834415"/>
    <w:rsid w:val="0083632D"/>
    <w:rsid w:val="00841A19"/>
    <w:rsid w:val="00852579"/>
    <w:rsid w:val="00867D42"/>
    <w:rsid w:val="00891309"/>
    <w:rsid w:val="00895E84"/>
    <w:rsid w:val="008B07EA"/>
    <w:rsid w:val="008C4A35"/>
    <w:rsid w:val="008E5322"/>
    <w:rsid w:val="00906B8D"/>
    <w:rsid w:val="009331EF"/>
    <w:rsid w:val="00935E64"/>
    <w:rsid w:val="00936C63"/>
    <w:rsid w:val="00981DA0"/>
    <w:rsid w:val="009856F2"/>
    <w:rsid w:val="00985805"/>
    <w:rsid w:val="00990779"/>
    <w:rsid w:val="009E32A7"/>
    <w:rsid w:val="009F4E1B"/>
    <w:rsid w:val="00A1764E"/>
    <w:rsid w:val="00A23B88"/>
    <w:rsid w:val="00A240FA"/>
    <w:rsid w:val="00A24AAF"/>
    <w:rsid w:val="00A3726E"/>
    <w:rsid w:val="00A878E6"/>
    <w:rsid w:val="00A96476"/>
    <w:rsid w:val="00AA03AA"/>
    <w:rsid w:val="00AA1B66"/>
    <w:rsid w:val="00AB7D38"/>
    <w:rsid w:val="00AC420F"/>
    <w:rsid w:val="00AC5395"/>
    <w:rsid w:val="00AE406D"/>
    <w:rsid w:val="00B00829"/>
    <w:rsid w:val="00B02DCE"/>
    <w:rsid w:val="00B044FA"/>
    <w:rsid w:val="00B40EAB"/>
    <w:rsid w:val="00B47E14"/>
    <w:rsid w:val="00B529D0"/>
    <w:rsid w:val="00B84165"/>
    <w:rsid w:val="00B92052"/>
    <w:rsid w:val="00BA1173"/>
    <w:rsid w:val="00BA28B1"/>
    <w:rsid w:val="00BB1C07"/>
    <w:rsid w:val="00BD2A59"/>
    <w:rsid w:val="00BE4EEF"/>
    <w:rsid w:val="00BF214F"/>
    <w:rsid w:val="00C04E61"/>
    <w:rsid w:val="00C06238"/>
    <w:rsid w:val="00C16BBF"/>
    <w:rsid w:val="00C24843"/>
    <w:rsid w:val="00C7665B"/>
    <w:rsid w:val="00C92EA6"/>
    <w:rsid w:val="00CB01B0"/>
    <w:rsid w:val="00CD1B37"/>
    <w:rsid w:val="00CE3C1E"/>
    <w:rsid w:val="00CE7E5A"/>
    <w:rsid w:val="00CF3F9A"/>
    <w:rsid w:val="00D006BD"/>
    <w:rsid w:val="00D10ECF"/>
    <w:rsid w:val="00D425B1"/>
    <w:rsid w:val="00D42C21"/>
    <w:rsid w:val="00D520AE"/>
    <w:rsid w:val="00D662F5"/>
    <w:rsid w:val="00D73159"/>
    <w:rsid w:val="00D80A39"/>
    <w:rsid w:val="00DA5C2E"/>
    <w:rsid w:val="00DA7EF5"/>
    <w:rsid w:val="00DC1E05"/>
    <w:rsid w:val="00DC4DCA"/>
    <w:rsid w:val="00DD66F7"/>
    <w:rsid w:val="00E17C86"/>
    <w:rsid w:val="00E21C57"/>
    <w:rsid w:val="00E25FC1"/>
    <w:rsid w:val="00E327DC"/>
    <w:rsid w:val="00E34BB9"/>
    <w:rsid w:val="00E4117A"/>
    <w:rsid w:val="00E640A8"/>
    <w:rsid w:val="00E775FD"/>
    <w:rsid w:val="00E92012"/>
    <w:rsid w:val="00E943D7"/>
    <w:rsid w:val="00EE613A"/>
    <w:rsid w:val="00EF4B8C"/>
    <w:rsid w:val="00F0386A"/>
    <w:rsid w:val="00F03E72"/>
    <w:rsid w:val="00F523CF"/>
    <w:rsid w:val="00F52D4B"/>
    <w:rsid w:val="00F74DE5"/>
    <w:rsid w:val="00FA3710"/>
    <w:rsid w:val="00FD2A83"/>
    <w:rsid w:val="00FE112D"/>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o:shapedefaults>
    <o:shapelayout v:ext="edit">
      <o:idmap v:ext="edit" data="1"/>
    </o:shapelayout>
  </w:shapeDefaults>
  <w:decimalSymbol w:val="."/>
  <w:listSeparator w:val=","/>
  <w15:docId w15:val="{A515A05A-C598-40E3-AC91-87CEF29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6A"/>
    <w:pPr>
      <w:jc w:val="center"/>
    </w:pPr>
    <w:rPr>
      <w:rFonts w:asciiTheme="minorHAnsi" w:hAnsiTheme="minorHAnsi" w:cs="Arial"/>
      <w:color w:val="002F42" w:themeColor="text2"/>
      <w:kern w:val="28"/>
      <w:sz w:val="24"/>
      <w:szCs w:val="18"/>
      <w:lang w:val="en"/>
    </w:rPr>
  </w:style>
  <w:style w:type="paragraph" w:styleId="Heading1">
    <w:name w:val="heading 1"/>
    <w:basedOn w:val="Heading2"/>
    <w:next w:val="Normal"/>
    <w:qFormat/>
    <w:rsid w:val="004F4009"/>
    <w:pPr>
      <w:outlineLvl w:val="0"/>
    </w:pPr>
    <w:rPr>
      <w:color w:val="FFFFFF" w:themeColor="background1"/>
    </w:rPr>
  </w:style>
  <w:style w:type="paragraph" w:styleId="Heading2">
    <w:name w:val="heading 2"/>
    <w:basedOn w:val="Heading3"/>
    <w:next w:val="Normal"/>
    <w:qFormat/>
    <w:rsid w:val="00DD66F7"/>
    <w:pPr>
      <w:outlineLvl w:val="1"/>
    </w:pPr>
    <w:rPr>
      <w:color w:val="002F42" w:themeColor="text2"/>
      <w:sz w:val="40"/>
    </w:rPr>
  </w:style>
  <w:style w:type="paragraph" w:styleId="Heading3">
    <w:name w:val="heading 3"/>
    <w:basedOn w:val="Heading7"/>
    <w:next w:val="Normal"/>
    <w:qFormat/>
    <w:rsid w:val="00CE7E5A"/>
    <w:pPr>
      <w:outlineLvl w:val="2"/>
    </w:pPr>
    <w:rPr>
      <w:rFonts w:asciiTheme="majorHAnsi" w:hAnsiTheme="majorHAnsi"/>
      <w:color w:val="auto"/>
      <w:lang w:val="en"/>
    </w:rPr>
  </w:style>
  <w:style w:type="paragraph" w:styleId="Heading4">
    <w:name w:val="heading 4"/>
    <w:basedOn w:val="Normal"/>
    <w:qFormat/>
    <w:rsid w:val="00F0386A"/>
    <w:pPr>
      <w:outlineLvl w:val="3"/>
    </w:pPr>
    <w:rPr>
      <w:sz w:val="32"/>
      <w:szCs w:val="32"/>
    </w:rPr>
  </w:style>
  <w:style w:type="paragraph" w:styleId="Heading7">
    <w:name w:val="heading 7"/>
    <w:next w:val="Normal"/>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E17C86"/>
    <w:pPr>
      <w:spacing w:after="200"/>
    </w:pPr>
    <w:rPr>
      <w:rFonts w:asciiTheme="majorHAnsi" w:hAnsiTheme="majorHAnsi"/>
      <w:color w:val="FFFFFF" w:themeColor="background1"/>
      <w:sz w:val="64"/>
      <w:szCs w:val="64"/>
    </w:rPr>
  </w:style>
  <w:style w:type="paragraph" w:customStyle="1" w:styleId="Name">
    <w:name w:val="Name"/>
    <w:basedOn w:val="Normal"/>
    <w:rsid w:val="00D10ECF"/>
    <w:rPr>
      <w:rFonts w:ascii="Garamond" w:hAnsi="Garamond"/>
      <w:sz w:val="26"/>
      <w:szCs w:val="26"/>
    </w:rPr>
  </w:style>
  <w:style w:type="paragraph" w:customStyle="1" w:styleId="address">
    <w:name w:val="address"/>
    <w:basedOn w:val="Normal"/>
    <w:rsid w:val="0006134C"/>
  </w:style>
  <w:style w:type="paragraph" w:customStyle="1" w:styleId="Caption1">
    <w:name w:val="Caption1"/>
    <w:basedOn w:val="Normal"/>
    <w:rsid w:val="003414DE"/>
  </w:style>
  <w:style w:type="paragraph" w:styleId="BodyText2">
    <w:name w:val="Body Text 2"/>
    <w:basedOn w:val="Normal"/>
    <w:rsid w:val="00867D42"/>
    <w:pPr>
      <w:spacing w:after="120"/>
    </w:p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Subtitle">
    <w:name w:val="Subtitle"/>
    <w:basedOn w:val="Title"/>
    <w:next w:val="Normal"/>
    <w:link w:val="SubtitleChar"/>
    <w:uiPriority w:val="11"/>
    <w:qFormat/>
    <w:rsid w:val="00CE7E5A"/>
    <w:rPr>
      <w:rFonts w:asciiTheme="minorHAnsi" w:hAnsiTheme="minorHAnsi"/>
      <w:spacing w:val="20"/>
      <w:sz w:val="48"/>
    </w:rPr>
  </w:style>
  <w:style w:type="character" w:customStyle="1" w:styleId="SubtitleChar">
    <w:name w:val="Subtitle Char"/>
    <w:basedOn w:val="DefaultParagraphFont"/>
    <w:link w:val="Subtitle"/>
    <w:uiPriority w:val="11"/>
    <w:rsid w:val="00CE7E5A"/>
    <w:rPr>
      <w:rFonts w:asciiTheme="minorHAnsi" w:hAnsiTheme="minorHAnsi"/>
      <w:color w:val="FFFFFF" w:themeColor="background1"/>
      <w:spacing w:val="20"/>
      <w:kern w:val="28"/>
      <w:sz w:val="48"/>
      <w:szCs w:val="64"/>
      <w:lang w:val="en"/>
    </w:rPr>
  </w:style>
  <w:style w:type="paragraph" w:styleId="Header">
    <w:name w:val="header"/>
    <w:basedOn w:val="Normal"/>
    <w:link w:val="HeaderChar"/>
    <w:uiPriority w:val="99"/>
    <w:unhideWhenUsed/>
    <w:rsid w:val="00CE7E5A"/>
    <w:pPr>
      <w:tabs>
        <w:tab w:val="center" w:pos="4680"/>
        <w:tab w:val="right" w:pos="9360"/>
      </w:tabs>
    </w:pPr>
  </w:style>
  <w:style w:type="character" w:customStyle="1" w:styleId="HeaderChar">
    <w:name w:val="Header Char"/>
    <w:basedOn w:val="DefaultParagraphFont"/>
    <w:link w:val="Header"/>
    <w:uiPriority w:val="99"/>
    <w:rsid w:val="00CE7E5A"/>
    <w:rPr>
      <w:rFonts w:asciiTheme="minorHAnsi" w:hAnsiTheme="minorHAnsi" w:cs="Arial"/>
      <w:color w:val="002F42" w:themeColor="text2"/>
      <w:kern w:val="28"/>
      <w:sz w:val="24"/>
      <w:szCs w:val="18"/>
      <w:lang w:val="en"/>
    </w:rPr>
  </w:style>
  <w:style w:type="paragraph" w:styleId="Footer">
    <w:name w:val="footer"/>
    <w:basedOn w:val="Normal"/>
    <w:link w:val="FooterChar"/>
    <w:uiPriority w:val="99"/>
    <w:unhideWhenUsed/>
    <w:rsid w:val="00CE7E5A"/>
    <w:pPr>
      <w:tabs>
        <w:tab w:val="center" w:pos="4680"/>
        <w:tab w:val="right" w:pos="9360"/>
      </w:tabs>
    </w:pPr>
  </w:style>
  <w:style w:type="character" w:customStyle="1" w:styleId="FooterChar">
    <w:name w:val="Footer Char"/>
    <w:basedOn w:val="DefaultParagraphFont"/>
    <w:link w:val="Footer"/>
    <w:uiPriority w:val="99"/>
    <w:rsid w:val="00CE7E5A"/>
    <w:rPr>
      <w:rFonts w:asciiTheme="minorHAnsi" w:hAnsiTheme="minorHAnsi" w:cs="Arial"/>
      <w:color w:val="002F42" w:themeColor="text2"/>
      <w:kern w:val="28"/>
      <w:sz w:val="24"/>
      <w:szCs w:val="18"/>
      <w:lang w:val="en"/>
    </w:rPr>
  </w:style>
  <w:style w:type="paragraph" w:styleId="NoSpacing">
    <w:name w:val="No Spacing"/>
    <w:basedOn w:val="Heading7"/>
    <w:uiPriority w:val="1"/>
    <w:qFormat/>
    <w:rsid w:val="00DC1E05"/>
    <w:pPr>
      <w:spacing w:before="100"/>
      <w:ind w:left="288"/>
      <w:jc w:val="left"/>
    </w:pPr>
    <w:rPr>
      <w:rFonts w:asciiTheme="minorHAnsi" w:hAnsiTheme="minorHAnsi" w:cstheme="minorHAnsi"/>
      <w:color w:val="002F42" w:themeColor="text2"/>
      <w:sz w:val="24"/>
      <w:szCs w:val="24"/>
    </w:rPr>
  </w:style>
  <w:style w:type="paragraph" w:styleId="BalloonText">
    <w:name w:val="Balloon Text"/>
    <w:basedOn w:val="Normal"/>
    <w:link w:val="BalloonTextChar"/>
    <w:uiPriority w:val="99"/>
    <w:semiHidden/>
    <w:unhideWhenUsed/>
    <w:rsid w:val="0021274C"/>
    <w:rPr>
      <w:rFonts w:ascii="Tahoma" w:hAnsi="Tahoma" w:cs="Tahoma"/>
      <w:sz w:val="16"/>
      <w:szCs w:val="16"/>
    </w:rPr>
  </w:style>
  <w:style w:type="character" w:customStyle="1" w:styleId="BalloonTextChar">
    <w:name w:val="Balloon Text Char"/>
    <w:basedOn w:val="DefaultParagraphFont"/>
    <w:link w:val="BalloonText"/>
    <w:uiPriority w:val="99"/>
    <w:semiHidden/>
    <w:rsid w:val="0021274C"/>
    <w:rPr>
      <w:rFonts w:ascii="Tahoma" w:hAnsi="Tahoma" w:cs="Tahoma"/>
      <w:color w:val="002F42" w:themeColor="text2"/>
      <w:kern w:val="28"/>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darren.kelk@ascendantsol.co.uk"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mailto:claire.cracknell@harrogate.gov.uk"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dockree\AppData\Roaming\Microsoft\Templates\Flyer_Scallops_design.dotx" TargetMode="External"/></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2F42"/>
      </a:dk2>
      <a:lt2>
        <a:srgbClr val="E7E6E6"/>
      </a:lt2>
      <a:accent1>
        <a:srgbClr val="45A752"/>
      </a:accent1>
      <a:accent2>
        <a:srgbClr val="971C49"/>
      </a:accent2>
      <a:accent3>
        <a:srgbClr val="FEE254"/>
      </a:accent3>
      <a:accent4>
        <a:srgbClr val="E7934E"/>
      </a:accent4>
      <a:accent5>
        <a:srgbClr val="FFC000"/>
      </a:accent5>
      <a:accent6>
        <a:srgbClr val="70AD47"/>
      </a:accent6>
      <a:hlink>
        <a:srgbClr val="971C49"/>
      </a:hlink>
      <a:folHlink>
        <a:srgbClr val="971C49"/>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Flyer_Scallops_design</Template>
  <TotalTime>0</TotalTime>
  <Pages>4</Pages>
  <Words>1033</Words>
  <Characters>6412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Dockree</dc:creator>
  <cp:lastModifiedBy>Andrew Murphy</cp:lastModifiedBy>
  <cp:revision>2</cp:revision>
  <cp:lastPrinted>2002-03-14T12:03:00Z</cp:lastPrinted>
  <dcterms:created xsi:type="dcterms:W3CDTF">2019-11-07T14:05:00Z</dcterms:created>
  <dcterms:modified xsi:type="dcterms:W3CDTF">2019-11-07T14:05:00Z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